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9" w:type="pct"/>
        <w:tblCellSpacing w:w="0" w:type="dxa"/>
        <w:tblInd w:w="-142" w:type="dxa"/>
        <w:tblCellMar>
          <w:left w:w="0" w:type="dxa"/>
          <w:right w:w="0" w:type="dxa"/>
        </w:tblCellMar>
        <w:tblLook w:val="04A0" w:firstRow="1" w:lastRow="0" w:firstColumn="1" w:lastColumn="0" w:noHBand="0" w:noVBand="1"/>
      </w:tblPr>
      <w:tblGrid>
        <w:gridCol w:w="9169"/>
      </w:tblGrid>
      <w:tr w:rsidR="007C2FEA" w:rsidRPr="007C2FEA" w:rsidTr="007C2FEA">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169"/>
            </w:tblGrid>
            <w:tr w:rsidR="007C2FEA" w:rsidRPr="007C2FEA">
              <w:tc>
                <w:tcPr>
                  <w:tcW w:w="3950" w:type="pct"/>
                  <w:tcBorders>
                    <w:top w:val="nil"/>
                    <w:left w:val="nil"/>
                    <w:bottom w:val="nil"/>
                    <w:right w:val="nil"/>
                  </w:tcBorders>
                  <w:hideMark/>
                </w:tcPr>
                <w:p w:rsidR="007C2FEA" w:rsidRPr="007C2FEA" w:rsidRDefault="007C2FEA" w:rsidP="007C2FEA">
                  <w:pPr>
                    <w:spacing w:after="0" w:line="240" w:lineRule="auto"/>
                    <w:rPr>
                      <w:rFonts w:eastAsia="Times New Roman" w:cs="Times New Roman"/>
                      <w:sz w:val="32"/>
                      <w:szCs w:val="32"/>
                      <w:lang w:eastAsia="en-GB"/>
                    </w:rPr>
                  </w:pPr>
                  <w:r w:rsidRPr="007C2FEA">
                    <w:rPr>
                      <w:rFonts w:eastAsia="Arial Unicode MS" w:cs="Arial Unicode MS"/>
                      <w:color w:val="800000"/>
                      <w:sz w:val="32"/>
                      <w:szCs w:val="32"/>
                      <w:u w:val="single"/>
                      <w:lang w:eastAsia="en-GB"/>
                    </w:rPr>
                    <w:t>Common Knowledge</w:t>
                  </w:r>
                </w:p>
                <w:p w:rsidR="007C2FEA" w:rsidRPr="007C2FEA" w:rsidRDefault="007C2FEA" w:rsidP="007C2FEA">
                  <w:pPr>
                    <w:spacing w:before="100" w:beforeAutospacing="1" w:after="100" w:afterAutospacing="1" w:line="240" w:lineRule="auto"/>
                    <w:rPr>
                      <w:rFonts w:eastAsia="Times New Roman" w:cs="Times New Roman"/>
                      <w:sz w:val="24"/>
                      <w:szCs w:val="24"/>
                      <w:lang w:eastAsia="en-GB"/>
                    </w:rPr>
                  </w:pPr>
                  <w:r w:rsidRPr="007C2FEA">
                    <w:rPr>
                      <w:rFonts w:eastAsia="Times New Roman" w:cs="Times New Roman"/>
                      <w:sz w:val="24"/>
                      <w:szCs w:val="24"/>
                      <w:lang w:eastAsia="en-GB"/>
                    </w:rPr>
                    <w:t>There is no clear boundary on what is considered common knowledge. Even experts on plagiarism disagree on what counts as common knowledge. For instance, many sources only consider facts — current and historical events, famous people, geographic areas, etc. — to be potentially common knowledge. Others also include nonfactual material such as folklore and common sayings. Some sources limit common knowledge to only information known by others in your class, other sources look at what is common knowledge for the broader subject area.</w:t>
                  </w:r>
                </w:p>
                <w:p w:rsidR="007C2FEA" w:rsidRPr="007C2FEA" w:rsidRDefault="007C2FEA" w:rsidP="007C2FEA">
                  <w:pPr>
                    <w:spacing w:before="100" w:beforeAutospacing="1" w:after="100" w:afterAutospacing="1" w:line="240" w:lineRule="auto"/>
                    <w:rPr>
                      <w:rFonts w:eastAsia="Times New Roman" w:cs="Times New Roman"/>
                      <w:sz w:val="24"/>
                      <w:szCs w:val="24"/>
                      <w:lang w:eastAsia="en-GB"/>
                    </w:rPr>
                  </w:pPr>
                  <w:r w:rsidRPr="007C2FEA">
                    <w:rPr>
                      <w:rFonts w:eastAsia="Times New Roman" w:cs="Times New Roman"/>
                      <w:sz w:val="24"/>
                      <w:szCs w:val="24"/>
                      <w:lang w:eastAsia="en-GB"/>
                    </w:rPr>
                    <w:t>The two criteria that are most commonly used in deciding whether or not something is common knowledge relate to quantity: the fact can be found in numerous places and ubiquity: it is likely to be known by a lot of people. Ideally both conditions are true. A third criterion that is sometimes used is whether the information can be easily found in a general reference source.</w:t>
                  </w:r>
                </w:p>
                <w:p w:rsidR="007C2FEA" w:rsidRPr="007C2FEA" w:rsidRDefault="007C2FEA" w:rsidP="007C2FEA">
                  <w:pPr>
                    <w:spacing w:before="100" w:beforeAutospacing="1" w:after="100" w:afterAutospacing="1" w:line="240" w:lineRule="auto"/>
                    <w:rPr>
                      <w:rFonts w:eastAsia="Times New Roman" w:cs="Times New Roman"/>
                      <w:sz w:val="24"/>
                      <w:szCs w:val="24"/>
                      <w:lang w:eastAsia="en-GB"/>
                    </w:rPr>
                  </w:pPr>
                  <w:r w:rsidRPr="007C2FEA">
                    <w:rPr>
                      <w:rFonts w:eastAsia="Times New Roman" w:cs="Times New Roman"/>
                      <w:sz w:val="24"/>
                      <w:szCs w:val="24"/>
                      <w:lang w:eastAsia="en-GB"/>
                    </w:rPr>
                    <w:t xml:space="preserve">How do you tell if you have met the </w:t>
                  </w:r>
                  <w:r w:rsidRPr="007C2FEA">
                    <w:rPr>
                      <w:rFonts w:eastAsia="Times New Roman" w:cs="Times New Roman"/>
                      <w:b/>
                      <w:bCs/>
                      <w:sz w:val="24"/>
                      <w:szCs w:val="24"/>
                      <w:lang w:eastAsia="en-GB"/>
                    </w:rPr>
                    <w:t>quantity</w:t>
                  </w:r>
                  <w:r w:rsidRPr="007C2FEA">
                    <w:rPr>
                      <w:rFonts w:eastAsia="Times New Roman" w:cs="Times New Roman"/>
                      <w:sz w:val="24"/>
                      <w:szCs w:val="24"/>
                      <w:lang w:eastAsia="en-GB"/>
                    </w:rPr>
                    <w:t xml:space="preserve"> criteria? Some experts say that a fact is common knowledge if it can be found in three independent sources. Purdue’s Online Writing Lab recommends finding five independent sources before considering a fact common knowledge. The point is that common knowledge can be found in a variety of sources. As you do more research on a topic, you are likely to discover which facts count as common knowledge because you will encounter these facts in many places. </w:t>
                  </w:r>
                </w:p>
                <w:p w:rsidR="007C2FEA" w:rsidRPr="007C2FEA" w:rsidRDefault="007C2FEA" w:rsidP="007C2FEA">
                  <w:pPr>
                    <w:spacing w:before="100" w:beforeAutospacing="1" w:after="100" w:afterAutospacing="1" w:line="240" w:lineRule="auto"/>
                    <w:rPr>
                      <w:rFonts w:eastAsia="Times New Roman" w:cs="Times New Roman"/>
                      <w:sz w:val="24"/>
                      <w:szCs w:val="24"/>
                      <w:lang w:eastAsia="en-GB"/>
                    </w:rPr>
                  </w:pPr>
                  <w:r w:rsidRPr="007C2FEA">
                    <w:rPr>
                      <w:rFonts w:eastAsia="Times New Roman" w:cs="Times New Roman"/>
                      <w:sz w:val="24"/>
                      <w:szCs w:val="24"/>
                      <w:lang w:eastAsia="en-GB"/>
                    </w:rPr>
                    <w:t xml:space="preserve">How do you tell if a fact is </w:t>
                  </w:r>
                  <w:r w:rsidRPr="007C2FEA">
                    <w:rPr>
                      <w:rFonts w:eastAsia="Times New Roman" w:cs="Times New Roman"/>
                      <w:b/>
                      <w:bCs/>
                      <w:sz w:val="24"/>
                      <w:szCs w:val="24"/>
                      <w:lang w:eastAsia="en-GB"/>
                    </w:rPr>
                    <w:t>ubiquitous</w:t>
                  </w:r>
                  <w:r w:rsidRPr="007C2FEA">
                    <w:rPr>
                      <w:rFonts w:eastAsia="Times New Roman" w:cs="Times New Roman"/>
                      <w:sz w:val="24"/>
                      <w:szCs w:val="24"/>
                      <w:lang w:eastAsia="en-GB"/>
                    </w:rPr>
                    <w:t>? Some facts may be well known within one discipline and papers written within that group may assume the information is commonly known. That same piece of information used in other situations or by ‘non-experts’ may require attribution. A good rule of thumb is to acknowledge ideas which are not common knowledge among your peers such as the other students in the course for which you are writing the paper.</w:t>
                  </w:r>
                </w:p>
                <w:p w:rsidR="007C2FEA" w:rsidRPr="007C2FEA" w:rsidRDefault="007C2FEA" w:rsidP="007C2FEA">
                  <w:pPr>
                    <w:spacing w:before="100" w:beforeAutospacing="1" w:after="100" w:afterAutospacing="1" w:line="240" w:lineRule="auto"/>
                    <w:rPr>
                      <w:rFonts w:eastAsia="Times New Roman" w:cs="Times New Roman"/>
                      <w:sz w:val="24"/>
                      <w:szCs w:val="24"/>
                      <w:lang w:eastAsia="en-GB"/>
                    </w:rPr>
                  </w:pPr>
                  <w:r w:rsidRPr="007C2FEA">
                    <w:rPr>
                      <w:rFonts w:eastAsia="Times New Roman" w:cs="Times New Roman"/>
                      <w:sz w:val="24"/>
                      <w:szCs w:val="24"/>
                      <w:lang w:eastAsia="en-GB"/>
                    </w:rPr>
                    <w:t xml:space="preserve">How do you know if it is a </w:t>
                  </w:r>
                  <w:r w:rsidRPr="007C2FEA">
                    <w:rPr>
                      <w:rFonts w:eastAsia="Times New Roman" w:cs="Times New Roman"/>
                      <w:b/>
                      <w:bCs/>
                      <w:sz w:val="24"/>
                      <w:szCs w:val="24"/>
                      <w:lang w:eastAsia="en-GB"/>
                    </w:rPr>
                    <w:t>general reference source</w:t>
                  </w:r>
                  <w:r w:rsidRPr="007C2FEA">
                    <w:rPr>
                      <w:rFonts w:eastAsia="Times New Roman" w:cs="Times New Roman"/>
                      <w:sz w:val="24"/>
                      <w:szCs w:val="24"/>
                      <w:lang w:eastAsia="en-GB"/>
                    </w:rPr>
                    <w:t xml:space="preserve">? Reference sources collect together facts for easy look-up. Dictionaries, encyclopaedias, almanacs, and gazetteers are typical examples. Reference sources that focus on a specific area are not considered ‘general.’ The definition of </w:t>
                  </w:r>
                  <w:proofErr w:type="spellStart"/>
                  <w:r w:rsidRPr="007C2FEA">
                    <w:rPr>
                      <w:rFonts w:eastAsia="Times New Roman" w:cs="Times New Roman"/>
                      <w:sz w:val="24"/>
                      <w:szCs w:val="24"/>
                      <w:lang w:eastAsia="en-GB"/>
                    </w:rPr>
                    <w:t>Marfan</w:t>
                  </w:r>
                  <w:proofErr w:type="spellEnd"/>
                  <w:r w:rsidRPr="007C2FEA">
                    <w:rPr>
                      <w:rFonts w:eastAsia="Times New Roman" w:cs="Times New Roman"/>
                      <w:sz w:val="24"/>
                      <w:szCs w:val="24"/>
                      <w:lang w:eastAsia="en-GB"/>
                    </w:rPr>
                    <w:t xml:space="preserve"> syndrome mentioned </w:t>
                  </w:r>
                  <w:hyperlink r:id="rId5" w:history="1">
                    <w:r w:rsidRPr="007C2FEA">
                      <w:rPr>
                        <w:rFonts w:eastAsia="Times New Roman" w:cs="Times New Roman"/>
                        <w:color w:val="0000FF"/>
                        <w:sz w:val="24"/>
                        <w:szCs w:val="24"/>
                        <w:u w:val="single"/>
                        <w:lang w:eastAsia="en-GB"/>
                      </w:rPr>
                      <w:t>previously</w:t>
                    </w:r>
                  </w:hyperlink>
                  <w:r w:rsidRPr="007C2FEA">
                    <w:rPr>
                      <w:rFonts w:eastAsia="Times New Roman" w:cs="Times New Roman"/>
                      <w:sz w:val="24"/>
                      <w:szCs w:val="24"/>
                      <w:lang w:eastAsia="en-GB"/>
                    </w:rPr>
                    <w:t xml:space="preserve"> came from a medical dictionary, a specialized reference </w:t>
                  </w:r>
                  <w:bookmarkStart w:id="0" w:name="_GoBack"/>
                  <w:bookmarkEnd w:id="0"/>
                  <w:r w:rsidRPr="007C2FEA">
                    <w:rPr>
                      <w:rFonts w:eastAsia="Times New Roman" w:cs="Times New Roman"/>
                      <w:sz w:val="24"/>
                      <w:szCs w:val="24"/>
                      <w:lang w:eastAsia="en-GB"/>
                    </w:rPr>
                    <w:t>source that may not be readily available to most people. Therefore, you would probably want to cite this source if you were writing for people not familiar with medical information.</w:t>
                  </w:r>
                </w:p>
                <w:p w:rsidR="007C2FEA" w:rsidRPr="007C2FEA" w:rsidRDefault="007C2FEA" w:rsidP="007C2FEA">
                  <w:pPr>
                    <w:spacing w:before="100" w:beforeAutospacing="1" w:after="100" w:afterAutospacing="1" w:line="240" w:lineRule="auto"/>
                    <w:rPr>
                      <w:rFonts w:eastAsia="Times New Roman" w:cs="Times New Roman"/>
                      <w:sz w:val="24"/>
                      <w:szCs w:val="24"/>
                      <w:lang w:eastAsia="en-GB"/>
                    </w:rPr>
                  </w:pPr>
                  <w:r w:rsidRPr="007C2FEA">
                    <w:rPr>
                      <w:rFonts w:eastAsia="Times New Roman" w:cs="Times New Roman"/>
                      <w:sz w:val="24"/>
                      <w:szCs w:val="24"/>
                      <w:lang w:eastAsia="en-GB"/>
                    </w:rPr>
                    <w:t xml:space="preserve">If you are not sure, assume that an idea is </w:t>
                  </w:r>
                  <w:r w:rsidRPr="007C2FEA">
                    <w:rPr>
                      <w:rFonts w:eastAsia="Times New Roman" w:cs="Times New Roman"/>
                      <w:i/>
                      <w:iCs/>
                      <w:sz w:val="24"/>
                      <w:szCs w:val="24"/>
                      <w:lang w:eastAsia="en-GB"/>
                    </w:rPr>
                    <w:t>not</w:t>
                  </w:r>
                  <w:r w:rsidRPr="007C2FEA">
                    <w:rPr>
                      <w:rFonts w:eastAsia="Times New Roman" w:cs="Times New Roman"/>
                      <w:sz w:val="24"/>
                      <w:szCs w:val="24"/>
                      <w:lang w:eastAsia="en-GB"/>
                    </w:rPr>
                    <w:t xml:space="preserve"> common knowledge and cite the source. It is much easier to remove a citation than it is to hunt down a citation and try to add it later. Finally, when in doubt, check with your professor.</w:t>
                  </w:r>
                  <w:r w:rsidRPr="007C2FEA">
                    <w:rPr>
                      <w:rFonts w:eastAsia="Times New Roman" w:cs="Times New Roman"/>
                      <w:sz w:val="24"/>
                      <w:szCs w:val="24"/>
                      <w:lang w:eastAsia="en-GB"/>
                    </w:rPr>
                    <w:br/>
                    <w:t> </w:t>
                  </w:r>
                </w:p>
                <w:tbl>
                  <w:tblPr>
                    <w:tblW w:w="5000" w:type="pct"/>
                    <w:tblCellMar>
                      <w:left w:w="0" w:type="dxa"/>
                      <w:right w:w="0" w:type="dxa"/>
                    </w:tblCellMar>
                    <w:tblLook w:val="04A0" w:firstRow="1" w:lastRow="0" w:firstColumn="1" w:lastColumn="0" w:noHBand="0" w:noVBand="1"/>
                  </w:tblPr>
                  <w:tblGrid>
                    <w:gridCol w:w="4584"/>
                    <w:gridCol w:w="4585"/>
                  </w:tblGrid>
                  <w:tr w:rsidR="007C2FEA" w:rsidRPr="007C2FEA">
                    <w:tc>
                      <w:tcPr>
                        <w:tcW w:w="2500" w:type="pct"/>
                        <w:tcBorders>
                          <w:top w:val="nil"/>
                          <w:left w:val="nil"/>
                          <w:bottom w:val="nil"/>
                          <w:right w:val="nil"/>
                        </w:tcBorders>
                        <w:vAlign w:val="center"/>
                        <w:hideMark/>
                      </w:tcPr>
                      <w:p w:rsidR="007C2FEA" w:rsidRPr="007C2FEA" w:rsidRDefault="007C2FEA" w:rsidP="007C2FEA">
                        <w:pPr>
                          <w:spacing w:after="0" w:line="240" w:lineRule="auto"/>
                          <w:rPr>
                            <w:rFonts w:ascii="Papyrus" w:eastAsia="Times New Roman" w:hAnsi="Papyrus" w:cs="Times New Roman"/>
                            <w:sz w:val="24"/>
                            <w:szCs w:val="24"/>
                            <w:lang w:eastAsia="en-GB"/>
                          </w:rPr>
                        </w:pPr>
                      </w:p>
                    </w:tc>
                    <w:tc>
                      <w:tcPr>
                        <w:tcW w:w="2500" w:type="pct"/>
                        <w:tcBorders>
                          <w:top w:val="nil"/>
                          <w:left w:val="nil"/>
                          <w:bottom w:val="nil"/>
                          <w:right w:val="nil"/>
                        </w:tcBorders>
                        <w:vAlign w:val="center"/>
                        <w:hideMark/>
                      </w:tcPr>
                      <w:p w:rsidR="007C2FEA" w:rsidRPr="007C2FEA" w:rsidRDefault="007C2FEA" w:rsidP="007C2FEA">
                        <w:pPr>
                          <w:spacing w:before="100" w:beforeAutospacing="1" w:after="100" w:afterAutospacing="1" w:line="240" w:lineRule="auto"/>
                          <w:jc w:val="right"/>
                          <w:rPr>
                            <w:rFonts w:ascii="Papyrus" w:eastAsia="Times New Roman" w:hAnsi="Papyrus" w:cs="Times New Roman"/>
                            <w:sz w:val="24"/>
                            <w:szCs w:val="24"/>
                            <w:lang w:eastAsia="en-GB"/>
                          </w:rPr>
                        </w:pPr>
                      </w:p>
                    </w:tc>
                  </w:tr>
                </w:tbl>
                <w:p w:rsidR="007C2FEA" w:rsidRPr="007C2FEA" w:rsidRDefault="007C2FEA" w:rsidP="007C2FEA">
                  <w:pPr>
                    <w:spacing w:after="0" w:line="240" w:lineRule="auto"/>
                    <w:rPr>
                      <w:rFonts w:ascii="Papyrus" w:eastAsia="Times New Roman" w:hAnsi="Papyrus" w:cs="Times New Roman"/>
                      <w:sz w:val="24"/>
                      <w:szCs w:val="24"/>
                      <w:lang w:eastAsia="en-GB"/>
                    </w:rPr>
                  </w:pPr>
                </w:p>
              </w:tc>
            </w:tr>
          </w:tbl>
          <w:p w:rsidR="007C2FEA" w:rsidRPr="007C2FEA" w:rsidRDefault="007C2FEA" w:rsidP="007C2FEA">
            <w:pPr>
              <w:spacing w:before="100" w:beforeAutospacing="1" w:after="100" w:afterAutospacing="1" w:line="240" w:lineRule="auto"/>
              <w:rPr>
                <w:rFonts w:ascii="Papyrus" w:eastAsia="Times New Roman" w:hAnsi="Papyrus" w:cs="Times New Roman"/>
                <w:sz w:val="24"/>
                <w:szCs w:val="24"/>
                <w:lang w:eastAsia="en-GB"/>
              </w:rPr>
            </w:pPr>
            <w:r w:rsidRPr="007C2FEA">
              <w:rPr>
                <w:rFonts w:ascii="Arial" w:eastAsia="Times New Roman" w:hAnsi="Arial" w:cs="Arial"/>
                <w:sz w:val="20"/>
                <w:szCs w:val="20"/>
                <w:lang w:eastAsia="en-GB"/>
              </w:rPr>
              <w:t xml:space="preserve">1. Purdue University Online Writing Lab. 18 September 2007. </w:t>
            </w:r>
            <w:r w:rsidRPr="007C2FEA">
              <w:rPr>
                <w:rFonts w:ascii="Arial" w:eastAsia="Times New Roman" w:hAnsi="Arial" w:cs="Arial"/>
                <w:i/>
                <w:iCs/>
                <w:sz w:val="20"/>
                <w:szCs w:val="20"/>
                <w:lang w:eastAsia="en-GB"/>
              </w:rPr>
              <w:t>Is It Plagiarism Yet</w:t>
            </w:r>
            <w:proofErr w:type="gramStart"/>
            <w:r w:rsidRPr="007C2FEA">
              <w:rPr>
                <w:rFonts w:ascii="Arial" w:eastAsia="Times New Roman" w:hAnsi="Arial" w:cs="Arial"/>
                <w:i/>
                <w:iCs/>
                <w:sz w:val="20"/>
                <w:szCs w:val="20"/>
                <w:lang w:eastAsia="en-GB"/>
              </w:rPr>
              <w:t>?</w:t>
            </w:r>
            <w:r w:rsidRPr="007C2FEA">
              <w:rPr>
                <w:rFonts w:ascii="Arial" w:eastAsia="Times New Roman" w:hAnsi="Arial" w:cs="Arial"/>
                <w:sz w:val="20"/>
                <w:szCs w:val="20"/>
                <w:lang w:eastAsia="en-GB"/>
              </w:rPr>
              <w:t>.</w:t>
            </w:r>
            <w:proofErr w:type="gramEnd"/>
            <w:r w:rsidRPr="007C2FEA">
              <w:rPr>
                <w:rFonts w:ascii="Arial" w:eastAsia="Times New Roman" w:hAnsi="Arial" w:cs="Arial"/>
                <w:sz w:val="20"/>
                <w:szCs w:val="20"/>
                <w:lang w:eastAsia="en-GB"/>
              </w:rPr>
              <w:t xml:space="preserve"> 5 February 2008 </w:t>
            </w:r>
            <w:hyperlink r:id="rId6" w:tgtFrame="_blank" w:history="1">
              <w:r w:rsidRPr="007C2FEA">
                <w:rPr>
                  <w:rFonts w:ascii="Arial" w:eastAsia="Times New Roman" w:hAnsi="Arial" w:cs="Arial"/>
                  <w:color w:val="0000FF"/>
                  <w:sz w:val="20"/>
                  <w:szCs w:val="20"/>
                  <w:u w:val="single"/>
                  <w:lang w:eastAsia="en-GB"/>
                </w:rPr>
                <w:t>http://http://owl.english.purdue.edu/owl/resource/589/02/</w:t>
              </w:r>
            </w:hyperlink>
            <w:r w:rsidRPr="007C2FEA">
              <w:rPr>
                <w:rFonts w:ascii="Arial" w:eastAsia="Times New Roman" w:hAnsi="Arial" w:cs="Arial"/>
                <w:sz w:val="20"/>
                <w:szCs w:val="20"/>
                <w:lang w:eastAsia="en-GB"/>
              </w:rPr>
              <w:t>.</w:t>
            </w:r>
          </w:p>
        </w:tc>
      </w:tr>
    </w:tbl>
    <w:p w:rsidR="00CA58AA" w:rsidRDefault="00CA58AA"/>
    <w:sectPr w:rsidR="00CA5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FEA"/>
    <w:rsid w:val="007C2FEA"/>
    <w:rsid w:val="00CA5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F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6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wl.english.purdue.edu/owl/resource/589/02/" TargetMode="External"/><Relationship Id="rId5" Type="http://schemas.openxmlformats.org/officeDocument/2006/relationships/hyperlink" Target="https://library.csusm.edu/plagiarism/WhatIs/what_is_comm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2016-01-04T16:23:00Z</dcterms:created>
  <dcterms:modified xsi:type="dcterms:W3CDTF">2016-01-04T16:25:00Z</dcterms:modified>
</cp:coreProperties>
</file>