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6374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8" o:title=""/>
            <w10:wrap type="topAndBottom"/>
          </v:shape>
          <o:OLEObject Type="Embed" ProgID="MSPhotoEd.3" ShapeID="_x0000_s1026" DrawAspect="Content" ObjectID="_1414319571" r:id="rId9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Default="00B73D56" w:rsidP="00152C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C10C9">
              <w:rPr>
                <w:sz w:val="28"/>
              </w:rPr>
              <w:t>Course Coordinator</w:t>
            </w:r>
            <w:r w:rsidR="00152CE8">
              <w:rPr>
                <w:sz w:val="28"/>
              </w:rPr>
              <w:t xml:space="preserve"> Meeting</w:t>
            </w:r>
            <w:r w:rsidR="000C10C9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</w:tcBorders>
          </w:tcPr>
          <w:p w:rsidR="00D91C68" w:rsidRPr="00D91C68" w:rsidRDefault="000C10C9" w:rsidP="00D91C68">
            <w:r>
              <w:t>1</w:t>
            </w:r>
            <w:r w:rsidRPr="000C10C9">
              <w:rPr>
                <w:vertAlign w:val="superscript"/>
              </w:rPr>
              <w:t>st</w:t>
            </w:r>
            <w:r>
              <w:t xml:space="preserve"> October 2012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Default="00B45AA5">
            <w:pPr>
              <w:pStyle w:val="Heading6"/>
              <w:jc w:val="center"/>
            </w:pPr>
          </w:p>
          <w:p w:rsidR="00B45AA5" w:rsidRDefault="00B45AA5">
            <w:pPr>
              <w:jc w:val="center"/>
            </w:pP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>
        <w:tc>
          <w:tcPr>
            <w:tcW w:w="4968" w:type="dxa"/>
          </w:tcPr>
          <w:p w:rsidR="00B45AA5" w:rsidRDefault="00B45AA5"/>
          <w:p w:rsidR="00D933F9" w:rsidRDefault="000C10C9">
            <w:r>
              <w:t>Attending: T.D, K.S, C.R, S.P, C.P, M.P, K.H</w:t>
            </w:r>
          </w:p>
          <w:p w:rsidR="00B45AA5" w:rsidRDefault="00B45AA5">
            <w:r>
              <w:t xml:space="preserve">               </w:t>
            </w:r>
          </w:p>
          <w:p w:rsidR="00B45AA5" w:rsidRDefault="00B45AA5"/>
        </w:tc>
        <w:tc>
          <w:tcPr>
            <w:tcW w:w="4276" w:type="dxa"/>
          </w:tcPr>
          <w:p w:rsidR="00B45AA5" w:rsidRDefault="00B45AA5"/>
          <w:p w:rsidR="00B45AA5" w:rsidRDefault="00B45AA5">
            <w:pPr>
              <w:rPr>
                <w:sz w:val="24"/>
              </w:rPr>
            </w:pPr>
            <w:r>
              <w:t xml:space="preserve">   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/>
          <w:p w:rsidR="00EB6BFB" w:rsidRDefault="00EB6BFB"/>
          <w:p w:rsidR="00D042DC" w:rsidRDefault="00D042DC"/>
          <w:p w:rsidR="00D042DC" w:rsidRDefault="00D042DC" w:rsidP="00D042DC">
            <w:pPr>
              <w:ind w:left="360"/>
              <w:rPr>
                <w:b/>
              </w:rPr>
            </w:pPr>
          </w:p>
          <w:p w:rsidR="000C10C9" w:rsidRDefault="000C10C9" w:rsidP="00D042DC">
            <w:pPr>
              <w:ind w:left="360"/>
              <w:rPr>
                <w:b/>
              </w:rPr>
            </w:pPr>
          </w:p>
          <w:p w:rsidR="000C10C9" w:rsidRDefault="000C10C9" w:rsidP="00D042DC">
            <w:pPr>
              <w:ind w:left="360"/>
              <w:rPr>
                <w:b/>
              </w:rPr>
            </w:pPr>
          </w:p>
          <w:p w:rsidR="000C10C9" w:rsidRPr="004771D3" w:rsidRDefault="000C10C9" w:rsidP="00D042DC">
            <w:pPr>
              <w:ind w:left="360"/>
              <w:rPr>
                <w:b/>
                <w:u w:val="single"/>
              </w:rPr>
            </w:pPr>
            <w:r w:rsidRPr="004771D3">
              <w:rPr>
                <w:b/>
                <w:u w:val="single"/>
              </w:rPr>
              <w:t>Update Student numbers</w:t>
            </w: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BB1206" w:rsidRDefault="00BB1206" w:rsidP="00D042DC">
            <w:pPr>
              <w:ind w:left="360"/>
              <w:rPr>
                <w:b/>
              </w:rPr>
            </w:pPr>
          </w:p>
          <w:p w:rsidR="00442EDC" w:rsidRPr="004771D3" w:rsidRDefault="00442EDC" w:rsidP="00D042DC">
            <w:pPr>
              <w:ind w:left="360"/>
              <w:rPr>
                <w:b/>
                <w:u w:val="single"/>
              </w:rPr>
            </w:pPr>
            <w:r w:rsidRPr="004771D3">
              <w:rPr>
                <w:b/>
                <w:u w:val="single"/>
              </w:rPr>
              <w:t>Benchmarking</w:t>
            </w:r>
          </w:p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Default="005C608F" w:rsidP="005C608F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Default="006B7AF0" w:rsidP="006B7AF0"/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Pr="00152CE8" w:rsidRDefault="006B7AF0" w:rsidP="00152CE8">
            <w:pPr>
              <w:rPr>
                <w:b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7" w:rsidRDefault="001D7587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Tania spoke about calendar of meetings. Also went through dates for Head of School meeting.</w:t>
            </w:r>
          </w:p>
          <w:p w:rsidR="000C10C9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C10C9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Directed to make 5% cut by Principal. Merge of second groups for theoretical lessons only.</w:t>
            </w:r>
          </w:p>
          <w:p w:rsidR="000C10C9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C10C9" w:rsidRDefault="000C10C9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C.P mentioned if different tutors can be allocated the heavy load in different academic years. C.P feels she has been penalised</w:t>
            </w:r>
            <w:r w:rsidR="00AF743B">
              <w:t xml:space="preserve"> again this year. T.D mentioned manning remains the same. T.D also mentioned that she would look at this for next year.</w:t>
            </w:r>
          </w:p>
          <w:p w:rsidR="00AF743B" w:rsidRDefault="00AF743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743B" w:rsidRDefault="00AF743B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The College having to look at making cuts and T.D feels that stability should come today.</w:t>
            </w:r>
          </w:p>
          <w:p w:rsidR="00AF743B" w:rsidRDefault="00AF743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42EDC" w:rsidRDefault="00AF743B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Tutors need to put on campus time onto their timetables for T.D to be aware.</w:t>
            </w:r>
          </w:p>
          <w:p w:rsidR="00442EDC" w:rsidRDefault="00442EDC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743B" w:rsidRDefault="00442EDC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Report back to T.D back to T.D in line for the inspection remission/CIC/ meeting slots/ etc, must total 30 on campus hours. </w:t>
            </w:r>
            <w:r w:rsidR="00AF743B">
              <w:t xml:space="preserve"> </w:t>
            </w:r>
          </w:p>
          <w:p w:rsidR="00AF743B" w:rsidRDefault="00AF743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65743" w:rsidRDefault="00BB1206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% increased </w:t>
            </w:r>
            <w:r w:rsidR="00E65743">
              <w:t>but not by a significant amount. CIC to take responsibility for the accuracy of the data. T.D is looking at data but unaware of the data to show all CIC’s, benchmarking and make corrections.</w:t>
            </w:r>
          </w:p>
          <w:p w:rsidR="00E65743" w:rsidRDefault="00E65743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65743" w:rsidRDefault="00E65743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Afan found an error on First Aid instead of baby safe. </w:t>
            </w:r>
          </w:p>
          <w:p w:rsidR="00E65743" w:rsidRDefault="00E65743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E65743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T.D </w:t>
            </w:r>
            <w:r w:rsidR="00AB6DD8">
              <w:t>emphasised the importance of the data placed upon by Estyn. SAR will be looked at by ESTYN and lines of enquiry will be looked at from the SAR.</w:t>
            </w: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T.D suggested in the next CIC meeting that will look at the data for our courses and preparing the answers in preparation for the ESTYN inspection.</w:t>
            </w: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T.D mentioned that we look at the SAR in a main staff meeting and school SAR.</w:t>
            </w: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M.P mentioned she needs </w:t>
            </w:r>
            <w:r w:rsidR="004771D3">
              <w:t>S.O.W sent to her for moderation, file held in G block staff room. Also ‘what’s the verdict’ needs to be completed on induction.</w:t>
            </w: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B6DD8" w:rsidRDefault="00AB6DD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743B" w:rsidRDefault="00E65743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EB6BFB" w:rsidRP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A67A8F">
      <w:headerReference w:type="default" r:id="rId10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1A" w:rsidRDefault="00FE7E1A">
      <w:r>
        <w:separator/>
      </w:r>
    </w:p>
  </w:endnote>
  <w:endnote w:type="continuationSeparator" w:id="0">
    <w:p w:rsidR="00FE7E1A" w:rsidRDefault="00FE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1A" w:rsidRDefault="00FE7E1A">
      <w:r>
        <w:separator/>
      </w:r>
    </w:p>
  </w:footnote>
  <w:footnote w:type="continuationSeparator" w:id="0">
    <w:p w:rsidR="00FE7E1A" w:rsidRDefault="00FE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D8" w:rsidRDefault="00AB6DD8">
    <w:pPr>
      <w:pStyle w:val="Header"/>
      <w:jc w:val="right"/>
    </w:pPr>
    <w:r>
      <w:rPr>
        <w:snapToGrid w:val="0"/>
        <w:lang w:eastAsia="en-US"/>
      </w:rPr>
      <w:t xml:space="preserve">Page </w:t>
    </w:r>
    <w:r w:rsidR="0063740A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63740A">
      <w:rPr>
        <w:snapToGrid w:val="0"/>
        <w:lang w:eastAsia="en-US"/>
      </w:rPr>
      <w:fldChar w:fldCharType="separate"/>
    </w:r>
    <w:r w:rsidR="00111865">
      <w:rPr>
        <w:noProof/>
        <w:snapToGrid w:val="0"/>
        <w:lang w:eastAsia="en-US"/>
      </w:rPr>
      <w:t>2</w:t>
    </w:r>
    <w:r w:rsidR="0063740A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63740A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63740A">
      <w:rPr>
        <w:snapToGrid w:val="0"/>
        <w:lang w:eastAsia="en-US"/>
      </w:rPr>
      <w:fldChar w:fldCharType="separate"/>
    </w:r>
    <w:r w:rsidR="00111865">
      <w:rPr>
        <w:noProof/>
        <w:snapToGrid w:val="0"/>
        <w:lang w:eastAsia="en-US"/>
      </w:rPr>
      <w:t>2</w:t>
    </w:r>
    <w:r w:rsidR="0063740A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A3"/>
    <w:multiLevelType w:val="hybridMultilevel"/>
    <w:tmpl w:val="D1983850"/>
    <w:lvl w:ilvl="0" w:tplc="291EE21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7E0E"/>
    <w:multiLevelType w:val="hybridMultilevel"/>
    <w:tmpl w:val="6F628E8E"/>
    <w:lvl w:ilvl="0" w:tplc="6DE0C018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209229C"/>
    <w:multiLevelType w:val="hybridMultilevel"/>
    <w:tmpl w:val="D8AA6B52"/>
    <w:lvl w:ilvl="0" w:tplc="C622850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D19"/>
    <w:multiLevelType w:val="hybridMultilevel"/>
    <w:tmpl w:val="2348F35C"/>
    <w:lvl w:ilvl="0" w:tplc="9F423E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209B1"/>
    <w:multiLevelType w:val="hybridMultilevel"/>
    <w:tmpl w:val="9CE2F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A36"/>
    <w:multiLevelType w:val="hybridMultilevel"/>
    <w:tmpl w:val="BC906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6753"/>
    <w:multiLevelType w:val="hybridMultilevel"/>
    <w:tmpl w:val="B046D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C10C9"/>
    <w:rsid w:val="000C1276"/>
    <w:rsid w:val="000E0BC4"/>
    <w:rsid w:val="00111865"/>
    <w:rsid w:val="00152CE8"/>
    <w:rsid w:val="001560B7"/>
    <w:rsid w:val="001D7587"/>
    <w:rsid w:val="00214992"/>
    <w:rsid w:val="00250A70"/>
    <w:rsid w:val="00260A4A"/>
    <w:rsid w:val="00260AC7"/>
    <w:rsid w:val="002C3AA6"/>
    <w:rsid w:val="00323DC0"/>
    <w:rsid w:val="00362DA9"/>
    <w:rsid w:val="003D7DD1"/>
    <w:rsid w:val="00426F67"/>
    <w:rsid w:val="00432F70"/>
    <w:rsid w:val="00442EDC"/>
    <w:rsid w:val="004461AB"/>
    <w:rsid w:val="0046793C"/>
    <w:rsid w:val="004771D3"/>
    <w:rsid w:val="00482598"/>
    <w:rsid w:val="00492620"/>
    <w:rsid w:val="004C323B"/>
    <w:rsid w:val="004D316A"/>
    <w:rsid w:val="00515C52"/>
    <w:rsid w:val="00520405"/>
    <w:rsid w:val="00520AAD"/>
    <w:rsid w:val="00523B09"/>
    <w:rsid w:val="005C608F"/>
    <w:rsid w:val="0063740A"/>
    <w:rsid w:val="00645AE9"/>
    <w:rsid w:val="006646ED"/>
    <w:rsid w:val="006673E3"/>
    <w:rsid w:val="006B14CC"/>
    <w:rsid w:val="006B4499"/>
    <w:rsid w:val="006B7AF0"/>
    <w:rsid w:val="006E27E4"/>
    <w:rsid w:val="006E636F"/>
    <w:rsid w:val="00707965"/>
    <w:rsid w:val="00756272"/>
    <w:rsid w:val="0078246F"/>
    <w:rsid w:val="007B7A28"/>
    <w:rsid w:val="00812F86"/>
    <w:rsid w:val="008239F5"/>
    <w:rsid w:val="00841D94"/>
    <w:rsid w:val="00862557"/>
    <w:rsid w:val="008910E9"/>
    <w:rsid w:val="00893A12"/>
    <w:rsid w:val="008B3361"/>
    <w:rsid w:val="008E6A8F"/>
    <w:rsid w:val="009B4F6D"/>
    <w:rsid w:val="009F3D84"/>
    <w:rsid w:val="00A037AD"/>
    <w:rsid w:val="00A0548A"/>
    <w:rsid w:val="00A125C6"/>
    <w:rsid w:val="00A310E0"/>
    <w:rsid w:val="00A445D5"/>
    <w:rsid w:val="00A60751"/>
    <w:rsid w:val="00A67A8F"/>
    <w:rsid w:val="00AB6DD8"/>
    <w:rsid w:val="00AD0CB5"/>
    <w:rsid w:val="00AF743B"/>
    <w:rsid w:val="00B35518"/>
    <w:rsid w:val="00B45AA5"/>
    <w:rsid w:val="00B573B5"/>
    <w:rsid w:val="00B670EF"/>
    <w:rsid w:val="00B73D56"/>
    <w:rsid w:val="00BB1206"/>
    <w:rsid w:val="00C15C2E"/>
    <w:rsid w:val="00C46CD5"/>
    <w:rsid w:val="00C6128A"/>
    <w:rsid w:val="00C61690"/>
    <w:rsid w:val="00D042DC"/>
    <w:rsid w:val="00D332BA"/>
    <w:rsid w:val="00D43A94"/>
    <w:rsid w:val="00D91C68"/>
    <w:rsid w:val="00D933F9"/>
    <w:rsid w:val="00DB0190"/>
    <w:rsid w:val="00E65743"/>
    <w:rsid w:val="00E93081"/>
    <w:rsid w:val="00EA3723"/>
    <w:rsid w:val="00EA64F6"/>
    <w:rsid w:val="00EB6BFB"/>
    <w:rsid w:val="00EC6AD5"/>
    <w:rsid w:val="00F0716F"/>
    <w:rsid w:val="00F27D0F"/>
    <w:rsid w:val="00F3027E"/>
    <w:rsid w:val="00F524CF"/>
    <w:rsid w:val="00FA14F8"/>
    <w:rsid w:val="00FB0B6C"/>
    <w:rsid w:val="00FC6DDA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F"/>
    <w:rPr>
      <w:rFonts w:ascii="Tahoma" w:hAnsi="Tahoma"/>
    </w:rPr>
  </w:style>
  <w:style w:type="paragraph" w:styleId="Heading1">
    <w:name w:val="heading 1"/>
    <w:basedOn w:val="Normal"/>
    <w:next w:val="Normal"/>
    <w:qFormat/>
    <w:rsid w:val="00A67A8F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7A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67A8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A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7A8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7A8F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7A8F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67A8F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8F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AADD-F310-4838-AE48-22C86D68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2012-05-30T11:01:00Z</cp:lastPrinted>
  <dcterms:created xsi:type="dcterms:W3CDTF">2012-11-13T13:46:00Z</dcterms:created>
  <dcterms:modified xsi:type="dcterms:W3CDTF">2012-11-13T13:46:00Z</dcterms:modified>
</cp:coreProperties>
</file>