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99.xml" ContentType="application/vnd.openxmlformats-officedocument.drawingml.chart+xml"/>
  <Override PartName="/word/charts/chart59.xml" ContentType="application/vnd.openxmlformats-officedocument.drawingml.chart+xml"/>
  <Override PartName="/word/charts/chart77.xml" ContentType="application/vnd.openxmlformats-officedocument.drawingml.chart+xml"/>
  <Override PartName="/word/charts/chart88.xml" ContentType="application/vnd.openxmlformats-officedocument.drawingml.chart+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48.xml" ContentType="application/vnd.openxmlformats-officedocument.drawingml.chart+xml"/>
  <Override PartName="/word/charts/chart66.xml" ContentType="application/vnd.openxmlformats-officedocument.drawingml.chart+xml"/>
  <Override PartName="/word/charts/chart95.xml" ContentType="application/vnd.openxmlformats-officedocument.drawingml.chart+xml"/>
  <Override PartName="/word/stylesWithEffects.xml" ContentType="application/vnd.ms-word.stylesWithEffects+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84.xml" ContentType="application/vnd.openxmlformats-officedocument.drawingml.chart+xml"/>
  <Override PartName="/word/charts/chart9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82.xml" ContentType="application/vnd.openxmlformats-officedocument.drawingml.chart+xml"/>
  <Override PartName="/word/charts/chart91.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charts/chart80.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charts/chart20.xml" ContentType="application/vnd.openxmlformats-officedocument.drawingml.chart+xml"/>
  <Override PartName="/word/charts/chart40.xml" ContentType="application/vnd.openxmlformats-officedocument.drawingml.chart+xml"/>
  <Override PartName="/word/charts/chart89.xml" ContentType="application/vnd.openxmlformats-officedocument.drawingml.chart+xml"/>
  <Override PartName="/word/charts/chart98.xml" ContentType="application/vnd.openxmlformats-officedocument.drawingml.chart+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charts/chart78.xml" ContentType="application/vnd.openxmlformats-officedocument.drawingml.chart+xml"/>
  <Override PartName="/word/charts/chart87.xml" ContentType="application/vnd.openxmlformats-officedocument.drawingml.chart+xml"/>
  <Override PartName="/word/charts/chart96.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word/charts/chart76.xml" ContentType="application/vnd.openxmlformats-officedocument.drawingml.chart+xml"/>
  <Override PartName="/word/charts/chart85.xml" ContentType="application/vnd.openxmlformats-officedocument.drawingml.chart+xml"/>
  <Override PartName="/word/charts/chart94.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83.xml" ContentType="application/vnd.openxmlformats-officedocument.drawingml.chart+xml"/>
  <Override PartName="/word/charts/chart92.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charts/chart81.xml" ContentType="application/vnd.openxmlformats-officedocument.drawingml.chart+xml"/>
  <Override PartName="/word/charts/chart90.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word/footnotes.xml" ContentType="application/vnd.openxmlformats-officedocument.wordprocessingml.footnotes+xml"/>
  <Override PartName="/word/charts/chart68.xml" ContentType="application/vnd.openxmlformats-officedocument.drawingml.chart+xml"/>
  <Override PartName="/word/charts/chart79.xml" ContentType="application/vnd.openxmlformats-officedocument.drawingml.chart+xml"/>
  <Override PartName="/word/charts/chart97.xml" ContentType="application/vnd.openxmlformats-officedocument.drawingml.chart+xml"/>
  <Default Extension="rels" ContentType="application/vnd.openxmlformats-package.relationships+xml"/>
  <Override PartName="/word/charts/chart28.xml" ContentType="application/vnd.openxmlformats-officedocument.drawingml.chart+xml"/>
  <Override PartName="/word/charts/chart39.xml" ContentType="application/vnd.openxmlformats-officedocument.drawingml.chart+xml"/>
  <Override PartName="/word/charts/chart57.xml" ContentType="application/vnd.openxmlformats-officedocument.drawingml.chart+xml"/>
  <Override PartName="/word/charts/chart75.xml" ContentType="application/vnd.openxmlformats-officedocument.drawingml.chart+xml"/>
  <Override PartName="/word/charts/chart86.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B95" w:rsidRDefault="003D6083" w:rsidP="00413D06">
      <w:pPr>
        <w:jc w:val="cente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-118973</wp:posOffset>
            </wp:positionH>
            <wp:positionV relativeFrom="paragraph">
              <wp:posOffset>-526211</wp:posOffset>
            </wp:positionV>
            <wp:extent cx="6408636" cy="9005977"/>
            <wp:effectExtent l="19050" t="0" r="0" b="0"/>
            <wp:wrapNone/>
            <wp:docPr id="103" name="Picture 101" descr="presentation-bg-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bg-A4.jpg"/>
                    <pic:cNvPicPr/>
                  </pic:nvPicPr>
                  <pic:blipFill>
                    <a:blip r:embed="rId8" cstate="print"/>
                    <a:stretch>
                      <a:fillRect/>
                    </a:stretch>
                  </pic:blipFill>
                  <pic:spPr>
                    <a:xfrm>
                      <a:off x="0" y="0"/>
                      <a:ext cx="6408636" cy="9005977"/>
                    </a:xfrm>
                    <a:prstGeom prst="rect">
                      <a:avLst/>
                    </a:prstGeom>
                  </pic:spPr>
                </pic:pic>
              </a:graphicData>
            </a:graphic>
          </wp:anchor>
        </w:drawing>
      </w:r>
    </w:p>
    <w:p w:rsidR="00413D06" w:rsidRPr="003D6083" w:rsidRDefault="00413D06" w:rsidP="00413D06">
      <w:pPr>
        <w:jc w:val="center"/>
        <w:rPr>
          <w:rFonts w:ascii="Eurostile" w:hAnsi="Eurostile" w:cs="Arial"/>
          <w:sz w:val="24"/>
          <w:szCs w:val="24"/>
        </w:rPr>
      </w:pPr>
    </w:p>
    <w:p w:rsidR="00413D06" w:rsidRDefault="00413D06" w:rsidP="00413D06">
      <w:pPr>
        <w:jc w:val="center"/>
        <w:rPr>
          <w:rFonts w:ascii="Arial" w:hAnsi="Arial" w:cs="Arial"/>
          <w:sz w:val="52"/>
          <w:szCs w:val="52"/>
        </w:rPr>
      </w:pPr>
    </w:p>
    <w:p w:rsidR="00413D06" w:rsidRDefault="00413D06" w:rsidP="00413D06">
      <w:pPr>
        <w:jc w:val="center"/>
        <w:rPr>
          <w:rFonts w:ascii="Arial" w:hAnsi="Arial" w:cs="Arial"/>
          <w:sz w:val="52"/>
          <w:szCs w:val="52"/>
        </w:rPr>
      </w:pPr>
    </w:p>
    <w:p w:rsidR="00A527E2" w:rsidRPr="003D6083" w:rsidRDefault="008B05F3" w:rsidP="008B05F3">
      <w:pPr>
        <w:jc w:val="center"/>
        <w:rPr>
          <w:rFonts w:ascii="Arial" w:hAnsi="Arial" w:cs="Arial"/>
          <w:b/>
          <w:color w:val="FFFFFF" w:themeColor="background1"/>
          <w:sz w:val="52"/>
          <w:szCs w:val="44"/>
        </w:rPr>
      </w:pPr>
      <w:r>
        <w:rPr>
          <w:rFonts w:ascii="Arial" w:hAnsi="Arial" w:cs="Arial"/>
          <w:b/>
          <w:color w:val="FFFFFF" w:themeColor="background1"/>
          <w:sz w:val="52"/>
          <w:szCs w:val="44"/>
        </w:rPr>
        <w:t xml:space="preserve"> </w:t>
      </w:r>
      <w:r w:rsidR="00A527E2" w:rsidRPr="003D6083">
        <w:rPr>
          <w:rFonts w:ascii="Arial" w:hAnsi="Arial" w:cs="Arial"/>
          <w:b/>
          <w:color w:val="FFFFFF" w:themeColor="background1"/>
          <w:sz w:val="52"/>
          <w:szCs w:val="44"/>
        </w:rPr>
        <w:t>Success Rates by Diversity-</w:t>
      </w:r>
      <w:r w:rsidR="00413D06" w:rsidRPr="003D6083">
        <w:rPr>
          <w:rFonts w:ascii="Arial" w:hAnsi="Arial" w:cs="Arial"/>
          <w:b/>
          <w:color w:val="FFFFFF" w:themeColor="background1"/>
          <w:sz w:val="52"/>
          <w:szCs w:val="44"/>
        </w:rPr>
        <w:t xml:space="preserve">Related </w:t>
      </w:r>
      <w:r>
        <w:rPr>
          <w:rFonts w:ascii="Arial" w:hAnsi="Arial" w:cs="Arial"/>
          <w:b/>
          <w:color w:val="FFFFFF" w:themeColor="background1"/>
          <w:sz w:val="52"/>
          <w:szCs w:val="44"/>
        </w:rPr>
        <w:t>Groups</w:t>
      </w:r>
    </w:p>
    <w:p w:rsidR="00413D06" w:rsidRPr="003D6083" w:rsidRDefault="00413D06" w:rsidP="00A527E2">
      <w:pPr>
        <w:jc w:val="center"/>
        <w:rPr>
          <w:rFonts w:ascii="Arial" w:hAnsi="Arial" w:cs="Arial"/>
          <w:b/>
          <w:color w:val="FFFFFF" w:themeColor="background1"/>
          <w:sz w:val="44"/>
          <w:szCs w:val="44"/>
        </w:rPr>
      </w:pPr>
    </w:p>
    <w:p w:rsidR="00413D06" w:rsidRDefault="00413D06" w:rsidP="00413D06">
      <w:pPr>
        <w:jc w:val="center"/>
        <w:rPr>
          <w:rFonts w:ascii="Arial" w:hAnsi="Arial" w:cs="Arial"/>
          <w:sz w:val="52"/>
          <w:szCs w:val="52"/>
        </w:rPr>
      </w:pPr>
    </w:p>
    <w:p w:rsidR="00413D06" w:rsidRDefault="00413D06" w:rsidP="00413D06">
      <w:pPr>
        <w:jc w:val="center"/>
        <w:rPr>
          <w:rFonts w:ascii="Arial" w:hAnsi="Arial" w:cs="Arial"/>
          <w:sz w:val="52"/>
          <w:szCs w:val="52"/>
        </w:rPr>
      </w:pPr>
    </w:p>
    <w:p w:rsidR="00413D06" w:rsidRDefault="00413D06" w:rsidP="00413D06">
      <w:pPr>
        <w:jc w:val="center"/>
        <w:rPr>
          <w:rFonts w:ascii="Arial" w:hAnsi="Arial" w:cs="Arial"/>
          <w:sz w:val="52"/>
          <w:szCs w:val="52"/>
        </w:rPr>
      </w:pPr>
    </w:p>
    <w:p w:rsidR="00A8156E" w:rsidRDefault="00A8156E" w:rsidP="00413D06">
      <w:pPr>
        <w:jc w:val="center"/>
        <w:rPr>
          <w:rFonts w:ascii="Arial" w:hAnsi="Arial" w:cs="Arial"/>
          <w:sz w:val="52"/>
          <w:szCs w:val="52"/>
        </w:rPr>
      </w:pPr>
    </w:p>
    <w:p w:rsidR="00A8156E" w:rsidRDefault="00A8156E" w:rsidP="00413D06">
      <w:pPr>
        <w:jc w:val="center"/>
        <w:rPr>
          <w:rFonts w:ascii="Arial" w:hAnsi="Arial" w:cs="Arial"/>
          <w:sz w:val="52"/>
          <w:szCs w:val="52"/>
        </w:rPr>
      </w:pPr>
    </w:p>
    <w:p w:rsidR="00A8156E" w:rsidRDefault="00A8156E" w:rsidP="00413D06">
      <w:pPr>
        <w:jc w:val="center"/>
        <w:rPr>
          <w:rFonts w:ascii="Arial" w:hAnsi="Arial" w:cs="Arial"/>
          <w:sz w:val="52"/>
          <w:szCs w:val="52"/>
        </w:rPr>
      </w:pPr>
    </w:p>
    <w:p w:rsidR="00413D06" w:rsidRPr="003D6083" w:rsidRDefault="00413D06" w:rsidP="00413D06">
      <w:pPr>
        <w:jc w:val="center"/>
        <w:rPr>
          <w:rFonts w:ascii="Arial" w:hAnsi="Arial" w:cs="Arial"/>
          <w:color w:val="FFFFFF" w:themeColor="background1"/>
          <w:sz w:val="28"/>
          <w:szCs w:val="28"/>
        </w:rPr>
      </w:pPr>
      <w:r w:rsidRPr="003D6083">
        <w:rPr>
          <w:rFonts w:ascii="Arial" w:hAnsi="Arial" w:cs="Arial"/>
          <w:color w:val="FFFFFF" w:themeColor="background1"/>
          <w:sz w:val="28"/>
          <w:szCs w:val="28"/>
        </w:rPr>
        <w:t>Jane Morgan</w:t>
      </w:r>
    </w:p>
    <w:p w:rsidR="00413D06" w:rsidRPr="003D6083" w:rsidRDefault="00413D06" w:rsidP="00413D06">
      <w:pPr>
        <w:jc w:val="center"/>
        <w:rPr>
          <w:rFonts w:ascii="Arial" w:hAnsi="Arial" w:cs="Arial"/>
          <w:color w:val="FFFFFF" w:themeColor="background1"/>
          <w:sz w:val="28"/>
          <w:szCs w:val="28"/>
        </w:rPr>
      </w:pPr>
      <w:r w:rsidRPr="003D6083">
        <w:rPr>
          <w:rFonts w:ascii="Arial" w:hAnsi="Arial" w:cs="Arial"/>
          <w:color w:val="FFFFFF" w:themeColor="background1"/>
          <w:sz w:val="28"/>
          <w:szCs w:val="28"/>
        </w:rPr>
        <w:t>Afan Campus Manager</w:t>
      </w:r>
    </w:p>
    <w:p w:rsidR="00413D06" w:rsidRPr="003D6083" w:rsidRDefault="00413D06" w:rsidP="00413D06">
      <w:pPr>
        <w:jc w:val="center"/>
        <w:rPr>
          <w:rFonts w:ascii="Arial" w:hAnsi="Arial" w:cs="Arial"/>
          <w:color w:val="FFFFFF" w:themeColor="background1"/>
          <w:sz w:val="28"/>
          <w:szCs w:val="28"/>
        </w:rPr>
      </w:pPr>
    </w:p>
    <w:p w:rsidR="004E25DE" w:rsidRDefault="004E25DE" w:rsidP="00413D06">
      <w:pPr>
        <w:jc w:val="center"/>
        <w:rPr>
          <w:rFonts w:ascii="Arial" w:hAnsi="Arial" w:cs="Arial"/>
          <w:sz w:val="28"/>
          <w:szCs w:val="28"/>
        </w:rPr>
      </w:pPr>
    </w:p>
    <w:p w:rsidR="003D6083" w:rsidRDefault="003D6083" w:rsidP="00413D06">
      <w:pPr>
        <w:jc w:val="center"/>
        <w:rPr>
          <w:rFonts w:ascii="Arial" w:hAnsi="Arial" w:cs="Arial"/>
          <w:sz w:val="24"/>
          <w:szCs w:val="24"/>
        </w:rPr>
      </w:pPr>
    </w:p>
    <w:p w:rsidR="003D6083" w:rsidRDefault="003D6083" w:rsidP="00413D06">
      <w:pPr>
        <w:jc w:val="center"/>
        <w:rPr>
          <w:rFonts w:ascii="Arial" w:hAnsi="Arial" w:cs="Arial"/>
          <w:sz w:val="24"/>
          <w:szCs w:val="24"/>
        </w:rPr>
      </w:pPr>
    </w:p>
    <w:p w:rsidR="003D6083" w:rsidRDefault="003D6083" w:rsidP="00413D06">
      <w:pPr>
        <w:jc w:val="center"/>
        <w:rPr>
          <w:rFonts w:ascii="Arial" w:hAnsi="Arial" w:cs="Arial"/>
          <w:sz w:val="24"/>
          <w:szCs w:val="24"/>
        </w:rPr>
      </w:pPr>
    </w:p>
    <w:p w:rsidR="003D6083" w:rsidRDefault="003D6083" w:rsidP="00413D06">
      <w:pPr>
        <w:jc w:val="center"/>
        <w:rPr>
          <w:rFonts w:ascii="Arial" w:hAnsi="Arial" w:cs="Arial"/>
          <w:sz w:val="24"/>
          <w:szCs w:val="24"/>
        </w:rPr>
      </w:pPr>
    </w:p>
    <w:p w:rsidR="00413D06" w:rsidRPr="00413D06" w:rsidRDefault="00413D06" w:rsidP="00413D06">
      <w:pPr>
        <w:jc w:val="center"/>
        <w:rPr>
          <w:rFonts w:ascii="Arial" w:hAnsi="Arial" w:cs="Arial"/>
          <w:sz w:val="24"/>
          <w:szCs w:val="24"/>
        </w:rPr>
      </w:pPr>
      <w:r w:rsidRPr="00413D06">
        <w:rPr>
          <w:rFonts w:ascii="Arial" w:hAnsi="Arial" w:cs="Arial"/>
          <w:sz w:val="24"/>
          <w:szCs w:val="24"/>
        </w:rPr>
        <w:t>Contents</w:t>
      </w:r>
    </w:p>
    <w:p w:rsidR="00413D06" w:rsidRPr="00413D06" w:rsidRDefault="00413D06" w:rsidP="00413D06">
      <w:pPr>
        <w:jc w:val="center"/>
        <w:rPr>
          <w:rFonts w:ascii="Arial" w:hAnsi="Arial" w:cs="Arial"/>
          <w:sz w:val="24"/>
          <w:szCs w:val="24"/>
        </w:rPr>
      </w:pPr>
    </w:p>
    <w:p w:rsidR="00413D06" w:rsidRPr="00413D06" w:rsidRDefault="00413D06" w:rsidP="00413D06">
      <w:pPr>
        <w:pStyle w:val="ListParagraph"/>
        <w:numPr>
          <w:ilvl w:val="0"/>
          <w:numId w:val="1"/>
        </w:numPr>
        <w:rPr>
          <w:rFonts w:ascii="Arial" w:hAnsi="Arial" w:cs="Arial"/>
          <w:sz w:val="24"/>
          <w:szCs w:val="24"/>
        </w:rPr>
      </w:pPr>
      <w:r w:rsidRPr="00413D06">
        <w:rPr>
          <w:rFonts w:ascii="Arial" w:hAnsi="Arial" w:cs="Arial"/>
          <w:sz w:val="24"/>
          <w:szCs w:val="24"/>
        </w:rPr>
        <w:lastRenderedPageBreak/>
        <w:t>Introduction</w:t>
      </w:r>
      <w:r w:rsidRPr="00413D06">
        <w:rPr>
          <w:rFonts w:ascii="Arial" w:hAnsi="Arial" w:cs="Arial"/>
          <w:sz w:val="24"/>
          <w:szCs w:val="24"/>
        </w:rPr>
        <w:tab/>
      </w:r>
      <w:r w:rsidRPr="00413D06">
        <w:rPr>
          <w:rFonts w:ascii="Arial" w:hAnsi="Arial" w:cs="Arial"/>
          <w:sz w:val="24"/>
          <w:szCs w:val="24"/>
        </w:rPr>
        <w:tab/>
      </w:r>
      <w:r w:rsidRPr="00413D06">
        <w:rPr>
          <w:rFonts w:ascii="Arial" w:hAnsi="Arial" w:cs="Arial"/>
          <w:sz w:val="24"/>
          <w:szCs w:val="24"/>
        </w:rPr>
        <w:tab/>
      </w:r>
      <w:r w:rsidRPr="00413D06">
        <w:rPr>
          <w:rFonts w:ascii="Arial" w:hAnsi="Arial" w:cs="Arial"/>
          <w:sz w:val="24"/>
          <w:szCs w:val="24"/>
        </w:rPr>
        <w:tab/>
      </w:r>
      <w:r w:rsidRPr="00413D06">
        <w:rPr>
          <w:rFonts w:ascii="Arial" w:hAnsi="Arial" w:cs="Arial"/>
          <w:sz w:val="24"/>
          <w:szCs w:val="24"/>
        </w:rPr>
        <w:tab/>
      </w:r>
      <w:r w:rsidRPr="00413D06">
        <w:rPr>
          <w:rFonts w:ascii="Arial" w:hAnsi="Arial" w:cs="Arial"/>
          <w:sz w:val="24"/>
          <w:szCs w:val="24"/>
        </w:rPr>
        <w:tab/>
      </w:r>
      <w:r>
        <w:rPr>
          <w:rFonts w:ascii="Arial" w:hAnsi="Arial" w:cs="Arial"/>
          <w:sz w:val="24"/>
          <w:szCs w:val="24"/>
        </w:rPr>
        <w:tab/>
      </w:r>
      <w:r w:rsidR="00365F57">
        <w:rPr>
          <w:rFonts w:ascii="Arial" w:hAnsi="Arial" w:cs="Arial"/>
          <w:sz w:val="24"/>
          <w:szCs w:val="24"/>
        </w:rPr>
        <w:t>Page 3</w:t>
      </w:r>
    </w:p>
    <w:p w:rsidR="00413D06" w:rsidRPr="00413D06" w:rsidRDefault="00413D06" w:rsidP="00413D06">
      <w:pPr>
        <w:pStyle w:val="ListParagraph"/>
        <w:rPr>
          <w:rFonts w:ascii="Arial" w:hAnsi="Arial" w:cs="Arial"/>
          <w:sz w:val="24"/>
          <w:szCs w:val="24"/>
        </w:rPr>
      </w:pPr>
    </w:p>
    <w:p w:rsidR="00413D06" w:rsidRPr="00413D06" w:rsidRDefault="00413D06" w:rsidP="00413D06">
      <w:pPr>
        <w:pStyle w:val="ListParagraph"/>
        <w:numPr>
          <w:ilvl w:val="0"/>
          <w:numId w:val="1"/>
        </w:numPr>
        <w:ind w:left="284" w:firstLine="76"/>
        <w:rPr>
          <w:rFonts w:ascii="Arial" w:hAnsi="Arial" w:cs="Arial"/>
          <w:sz w:val="24"/>
          <w:szCs w:val="24"/>
        </w:rPr>
      </w:pPr>
      <w:r w:rsidRPr="00413D06">
        <w:rPr>
          <w:rFonts w:ascii="Arial" w:hAnsi="Arial" w:cs="Arial"/>
          <w:sz w:val="24"/>
          <w:szCs w:val="24"/>
        </w:rPr>
        <w:t>Data Analysis:</w:t>
      </w:r>
    </w:p>
    <w:p w:rsidR="00413D06" w:rsidRPr="00413D06" w:rsidRDefault="00413D06" w:rsidP="00413D06">
      <w:pPr>
        <w:pStyle w:val="ListParagraph"/>
        <w:rPr>
          <w:rFonts w:ascii="Arial" w:hAnsi="Arial" w:cs="Arial"/>
          <w:sz w:val="24"/>
          <w:szCs w:val="24"/>
        </w:rPr>
      </w:pPr>
    </w:p>
    <w:p w:rsidR="00413D06" w:rsidRPr="00413D06" w:rsidRDefault="00365F57" w:rsidP="00413D06">
      <w:pPr>
        <w:pStyle w:val="ListParagraph"/>
        <w:numPr>
          <w:ilvl w:val="0"/>
          <w:numId w:val="2"/>
        </w:numPr>
        <w:rPr>
          <w:rFonts w:ascii="Arial" w:hAnsi="Arial" w:cs="Arial"/>
          <w:sz w:val="24"/>
          <w:szCs w:val="24"/>
        </w:rPr>
      </w:pPr>
      <w:r>
        <w:rPr>
          <w:rFonts w:ascii="Arial" w:hAnsi="Arial" w:cs="Arial"/>
          <w:sz w:val="24"/>
          <w:szCs w:val="24"/>
        </w:rPr>
        <w:t>Gender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413D06" w:rsidRPr="00413D06" w:rsidRDefault="00413D06" w:rsidP="00413D06">
      <w:pPr>
        <w:pStyle w:val="ListParagraph"/>
        <w:numPr>
          <w:ilvl w:val="0"/>
          <w:numId w:val="2"/>
        </w:numPr>
        <w:rPr>
          <w:rFonts w:ascii="Arial" w:hAnsi="Arial" w:cs="Arial"/>
          <w:sz w:val="24"/>
          <w:szCs w:val="24"/>
        </w:rPr>
      </w:pPr>
      <w:r w:rsidRPr="00413D06">
        <w:rPr>
          <w:rFonts w:ascii="Arial" w:hAnsi="Arial" w:cs="Arial"/>
          <w:sz w:val="24"/>
          <w:szCs w:val="24"/>
        </w:rPr>
        <w:t>Ethnicity</w:t>
      </w:r>
      <w:r w:rsidRPr="00413D06">
        <w:rPr>
          <w:rFonts w:ascii="Arial" w:hAnsi="Arial" w:cs="Arial"/>
          <w:sz w:val="24"/>
          <w:szCs w:val="24"/>
        </w:rPr>
        <w:tab/>
      </w:r>
      <w:r w:rsidRPr="00413D06">
        <w:rPr>
          <w:rFonts w:ascii="Arial" w:hAnsi="Arial" w:cs="Arial"/>
          <w:sz w:val="24"/>
          <w:szCs w:val="24"/>
        </w:rPr>
        <w:tab/>
      </w:r>
      <w:r w:rsidRPr="00413D06">
        <w:rPr>
          <w:rFonts w:ascii="Arial" w:hAnsi="Arial" w:cs="Arial"/>
          <w:sz w:val="24"/>
          <w:szCs w:val="24"/>
        </w:rPr>
        <w:tab/>
      </w:r>
      <w:r w:rsidRPr="00413D06">
        <w:rPr>
          <w:rFonts w:ascii="Arial" w:hAnsi="Arial" w:cs="Arial"/>
          <w:sz w:val="24"/>
          <w:szCs w:val="24"/>
        </w:rPr>
        <w:tab/>
      </w:r>
      <w:r w:rsidRPr="00413D06">
        <w:rPr>
          <w:rFonts w:ascii="Arial" w:hAnsi="Arial" w:cs="Arial"/>
          <w:sz w:val="24"/>
          <w:szCs w:val="24"/>
        </w:rPr>
        <w:tab/>
      </w:r>
      <w:r w:rsidRPr="00413D06">
        <w:rPr>
          <w:rFonts w:ascii="Arial" w:hAnsi="Arial" w:cs="Arial"/>
          <w:sz w:val="24"/>
          <w:szCs w:val="24"/>
        </w:rPr>
        <w:tab/>
        <w:t>Page</w:t>
      </w:r>
      <w:r w:rsidR="00365F57">
        <w:rPr>
          <w:rFonts w:ascii="Arial" w:hAnsi="Arial" w:cs="Arial"/>
          <w:sz w:val="24"/>
          <w:szCs w:val="24"/>
        </w:rPr>
        <w:t xml:space="preserve"> 22</w:t>
      </w:r>
    </w:p>
    <w:p w:rsidR="00413D06" w:rsidRPr="00413D06" w:rsidRDefault="007705A8" w:rsidP="00413D06">
      <w:pPr>
        <w:pStyle w:val="ListParagraph"/>
        <w:numPr>
          <w:ilvl w:val="0"/>
          <w:numId w:val="2"/>
        </w:numPr>
        <w:rPr>
          <w:rFonts w:ascii="Arial" w:hAnsi="Arial" w:cs="Arial"/>
          <w:sz w:val="24"/>
          <w:szCs w:val="24"/>
        </w:rPr>
      </w:pPr>
      <w:r>
        <w:rPr>
          <w:rFonts w:ascii="Arial" w:hAnsi="Arial" w:cs="Arial"/>
          <w:sz w:val="24"/>
          <w:szCs w:val="24"/>
        </w:rPr>
        <w:t>Disability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35</w:t>
      </w:r>
    </w:p>
    <w:p w:rsidR="00413D06" w:rsidRPr="00413D06" w:rsidRDefault="007705A8" w:rsidP="00413D06">
      <w:pPr>
        <w:pStyle w:val="ListParagraph"/>
        <w:numPr>
          <w:ilvl w:val="0"/>
          <w:numId w:val="2"/>
        </w:numPr>
        <w:rPr>
          <w:rFonts w:ascii="Arial" w:hAnsi="Arial" w:cs="Arial"/>
          <w:sz w:val="24"/>
          <w:szCs w:val="24"/>
        </w:rPr>
      </w:pPr>
      <w:r>
        <w:rPr>
          <w:rFonts w:ascii="Arial" w:hAnsi="Arial" w:cs="Arial"/>
          <w:sz w:val="24"/>
          <w:szCs w:val="24"/>
        </w:rPr>
        <w:t>Welsh Speakers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44</w:t>
      </w:r>
    </w:p>
    <w:p w:rsidR="00413D06" w:rsidRPr="00413D06" w:rsidRDefault="00413D06" w:rsidP="00413D06">
      <w:pPr>
        <w:pStyle w:val="ListParagraph"/>
        <w:numPr>
          <w:ilvl w:val="0"/>
          <w:numId w:val="2"/>
        </w:numPr>
        <w:rPr>
          <w:rFonts w:ascii="Arial" w:hAnsi="Arial" w:cs="Arial"/>
          <w:sz w:val="24"/>
          <w:szCs w:val="24"/>
        </w:rPr>
      </w:pPr>
      <w:r w:rsidRPr="00413D06">
        <w:rPr>
          <w:rFonts w:ascii="Arial" w:hAnsi="Arial" w:cs="Arial"/>
          <w:sz w:val="24"/>
          <w:szCs w:val="24"/>
        </w:rPr>
        <w:t>Communities First</w:t>
      </w:r>
      <w:r w:rsidRPr="00413D06">
        <w:rPr>
          <w:rFonts w:ascii="Arial" w:hAnsi="Arial" w:cs="Arial"/>
          <w:sz w:val="24"/>
          <w:szCs w:val="24"/>
        </w:rPr>
        <w:tab/>
      </w:r>
      <w:r w:rsidRPr="00413D06">
        <w:rPr>
          <w:rFonts w:ascii="Arial" w:hAnsi="Arial" w:cs="Arial"/>
          <w:sz w:val="24"/>
          <w:szCs w:val="24"/>
        </w:rPr>
        <w:tab/>
      </w:r>
      <w:r w:rsidRPr="00413D06">
        <w:rPr>
          <w:rFonts w:ascii="Arial" w:hAnsi="Arial" w:cs="Arial"/>
          <w:sz w:val="24"/>
          <w:szCs w:val="24"/>
        </w:rPr>
        <w:tab/>
      </w:r>
      <w:r w:rsidRPr="00413D06">
        <w:rPr>
          <w:rFonts w:ascii="Arial" w:hAnsi="Arial" w:cs="Arial"/>
          <w:sz w:val="24"/>
          <w:szCs w:val="24"/>
        </w:rPr>
        <w:tab/>
      </w:r>
      <w:r>
        <w:rPr>
          <w:rFonts w:ascii="Arial" w:hAnsi="Arial" w:cs="Arial"/>
          <w:sz w:val="24"/>
          <w:szCs w:val="24"/>
        </w:rPr>
        <w:tab/>
      </w:r>
      <w:r w:rsidR="007705A8">
        <w:rPr>
          <w:rFonts w:ascii="Arial" w:hAnsi="Arial" w:cs="Arial"/>
          <w:sz w:val="24"/>
          <w:szCs w:val="24"/>
        </w:rPr>
        <w:t>Page 50</w:t>
      </w:r>
    </w:p>
    <w:p w:rsidR="00413D06" w:rsidRPr="00413D06" w:rsidRDefault="007705A8" w:rsidP="00413D06">
      <w:pPr>
        <w:pStyle w:val="ListParagraph"/>
        <w:numPr>
          <w:ilvl w:val="0"/>
          <w:numId w:val="2"/>
        </w:numPr>
        <w:rPr>
          <w:rFonts w:ascii="Arial" w:hAnsi="Arial" w:cs="Arial"/>
          <w:sz w:val="24"/>
          <w:szCs w:val="24"/>
        </w:rPr>
      </w:pPr>
      <w:r>
        <w:rPr>
          <w:rFonts w:ascii="Arial" w:hAnsi="Arial" w:cs="Arial"/>
          <w:sz w:val="24"/>
          <w:szCs w:val="24"/>
        </w:rPr>
        <w:t>Travelling Community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65</w:t>
      </w:r>
    </w:p>
    <w:p w:rsidR="00413D06" w:rsidRPr="00413D06" w:rsidRDefault="007705A8" w:rsidP="00413D06">
      <w:pPr>
        <w:pStyle w:val="ListParagraph"/>
        <w:numPr>
          <w:ilvl w:val="0"/>
          <w:numId w:val="2"/>
        </w:numPr>
        <w:rPr>
          <w:rFonts w:ascii="Arial" w:hAnsi="Arial" w:cs="Arial"/>
          <w:sz w:val="24"/>
          <w:szCs w:val="24"/>
        </w:rPr>
      </w:pPr>
      <w:r>
        <w:rPr>
          <w:rFonts w:ascii="Arial" w:hAnsi="Arial" w:cs="Arial"/>
          <w:sz w:val="24"/>
          <w:szCs w:val="24"/>
        </w:rPr>
        <w:t>Free Meals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66</w:t>
      </w:r>
    </w:p>
    <w:p w:rsidR="00413D06" w:rsidRPr="00413D06" w:rsidRDefault="00413D06" w:rsidP="00413D06">
      <w:pPr>
        <w:pStyle w:val="ListParagraph"/>
        <w:numPr>
          <w:ilvl w:val="0"/>
          <w:numId w:val="2"/>
        </w:numPr>
        <w:rPr>
          <w:rFonts w:ascii="Arial" w:hAnsi="Arial" w:cs="Arial"/>
          <w:sz w:val="24"/>
          <w:szCs w:val="24"/>
        </w:rPr>
      </w:pPr>
      <w:r w:rsidRPr="00413D06">
        <w:rPr>
          <w:rFonts w:ascii="Arial" w:hAnsi="Arial" w:cs="Arial"/>
          <w:sz w:val="24"/>
          <w:szCs w:val="24"/>
        </w:rPr>
        <w:t xml:space="preserve">Criminal </w:t>
      </w:r>
      <w:r w:rsidR="0059500D">
        <w:rPr>
          <w:rFonts w:ascii="Arial" w:hAnsi="Arial" w:cs="Arial"/>
          <w:sz w:val="24"/>
          <w:szCs w:val="24"/>
        </w:rPr>
        <w:t>C</w:t>
      </w:r>
      <w:r w:rsidRPr="00413D06">
        <w:rPr>
          <w:rFonts w:ascii="Arial" w:hAnsi="Arial" w:cs="Arial"/>
          <w:sz w:val="24"/>
          <w:szCs w:val="24"/>
        </w:rPr>
        <w:t>onvictions</w:t>
      </w:r>
      <w:r w:rsidRPr="00413D06">
        <w:rPr>
          <w:rFonts w:ascii="Arial" w:hAnsi="Arial" w:cs="Arial"/>
          <w:sz w:val="24"/>
          <w:szCs w:val="24"/>
        </w:rPr>
        <w:tab/>
      </w:r>
      <w:r w:rsidRPr="00413D06">
        <w:rPr>
          <w:rFonts w:ascii="Arial" w:hAnsi="Arial" w:cs="Arial"/>
          <w:sz w:val="24"/>
          <w:szCs w:val="24"/>
        </w:rPr>
        <w:tab/>
      </w:r>
      <w:r w:rsidRPr="00413D06">
        <w:rPr>
          <w:rFonts w:ascii="Arial" w:hAnsi="Arial" w:cs="Arial"/>
          <w:sz w:val="24"/>
          <w:szCs w:val="24"/>
        </w:rPr>
        <w:tab/>
      </w:r>
      <w:r w:rsidRPr="00413D06">
        <w:rPr>
          <w:rFonts w:ascii="Arial" w:hAnsi="Arial" w:cs="Arial"/>
          <w:sz w:val="24"/>
          <w:szCs w:val="24"/>
        </w:rPr>
        <w:tab/>
      </w:r>
      <w:r w:rsidR="007705A8">
        <w:rPr>
          <w:rFonts w:ascii="Arial" w:hAnsi="Arial" w:cs="Arial"/>
          <w:sz w:val="24"/>
          <w:szCs w:val="24"/>
        </w:rPr>
        <w:t>Page 71</w:t>
      </w:r>
    </w:p>
    <w:p w:rsidR="00413D06" w:rsidRPr="00413D06" w:rsidRDefault="00413D06" w:rsidP="00413D06">
      <w:pPr>
        <w:rPr>
          <w:rFonts w:ascii="Arial" w:hAnsi="Arial" w:cs="Arial"/>
          <w:sz w:val="24"/>
          <w:szCs w:val="24"/>
        </w:rPr>
      </w:pPr>
    </w:p>
    <w:p w:rsidR="00413D06" w:rsidRPr="00413D06" w:rsidRDefault="007705A8" w:rsidP="00413D06">
      <w:pPr>
        <w:pStyle w:val="ListParagraph"/>
        <w:numPr>
          <w:ilvl w:val="0"/>
          <w:numId w:val="1"/>
        </w:numPr>
        <w:rPr>
          <w:rFonts w:ascii="Arial" w:hAnsi="Arial" w:cs="Arial"/>
          <w:sz w:val="24"/>
          <w:szCs w:val="24"/>
        </w:rPr>
      </w:pPr>
      <w:r>
        <w:rPr>
          <w:rFonts w:ascii="Arial" w:hAnsi="Arial" w:cs="Arial"/>
          <w:sz w:val="24"/>
          <w:szCs w:val="24"/>
        </w:rPr>
        <w:t>Summary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75</w:t>
      </w:r>
    </w:p>
    <w:p w:rsidR="00413D06" w:rsidRPr="00413D06" w:rsidRDefault="00413D06" w:rsidP="00413D06">
      <w:pPr>
        <w:rPr>
          <w:rFonts w:ascii="Arial" w:hAnsi="Arial" w:cs="Arial"/>
          <w:sz w:val="24"/>
          <w:szCs w:val="24"/>
        </w:rPr>
      </w:pPr>
    </w:p>
    <w:p w:rsidR="00413D06" w:rsidRPr="00413D06" w:rsidRDefault="007705A8" w:rsidP="00413D06">
      <w:pPr>
        <w:pStyle w:val="ListParagraph"/>
        <w:numPr>
          <w:ilvl w:val="0"/>
          <w:numId w:val="1"/>
        </w:numPr>
        <w:rPr>
          <w:rFonts w:ascii="Arial" w:hAnsi="Arial" w:cs="Arial"/>
          <w:sz w:val="24"/>
          <w:szCs w:val="24"/>
        </w:rPr>
      </w:pPr>
      <w:r>
        <w:rPr>
          <w:rFonts w:ascii="Arial" w:hAnsi="Arial" w:cs="Arial"/>
          <w:sz w:val="24"/>
          <w:szCs w:val="24"/>
        </w:rPr>
        <w:t>Recommendations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80</w:t>
      </w:r>
    </w:p>
    <w:p w:rsidR="00413D06" w:rsidRPr="00413D06" w:rsidRDefault="00413D06" w:rsidP="00413D06">
      <w:pPr>
        <w:pStyle w:val="ListParagraph"/>
        <w:rPr>
          <w:rFonts w:ascii="Arial" w:hAnsi="Arial" w:cs="Arial"/>
          <w:sz w:val="28"/>
          <w:szCs w:val="28"/>
        </w:rPr>
      </w:pPr>
    </w:p>
    <w:p w:rsidR="00413D06" w:rsidRDefault="00413D06" w:rsidP="00413D06">
      <w:pPr>
        <w:rPr>
          <w:rFonts w:ascii="Arial" w:hAnsi="Arial" w:cs="Arial"/>
          <w:sz w:val="28"/>
          <w:szCs w:val="28"/>
        </w:rPr>
      </w:pPr>
    </w:p>
    <w:p w:rsidR="00413D06" w:rsidRDefault="00413D06" w:rsidP="00413D06">
      <w:pPr>
        <w:rPr>
          <w:rFonts w:ascii="Arial" w:hAnsi="Arial" w:cs="Arial"/>
          <w:sz w:val="28"/>
          <w:szCs w:val="28"/>
        </w:rPr>
      </w:pPr>
    </w:p>
    <w:p w:rsidR="00413D06" w:rsidRDefault="00413D06" w:rsidP="00413D06">
      <w:pPr>
        <w:rPr>
          <w:rFonts w:ascii="Arial" w:hAnsi="Arial" w:cs="Arial"/>
          <w:sz w:val="28"/>
          <w:szCs w:val="28"/>
        </w:rPr>
      </w:pPr>
    </w:p>
    <w:p w:rsidR="00413D06" w:rsidRDefault="00413D06" w:rsidP="00413D06">
      <w:pPr>
        <w:rPr>
          <w:rFonts w:ascii="Arial" w:hAnsi="Arial" w:cs="Arial"/>
          <w:sz w:val="28"/>
          <w:szCs w:val="28"/>
        </w:rPr>
      </w:pPr>
    </w:p>
    <w:p w:rsidR="00413D06" w:rsidRDefault="00413D06" w:rsidP="00413D06">
      <w:pPr>
        <w:rPr>
          <w:rFonts w:ascii="Arial" w:hAnsi="Arial" w:cs="Arial"/>
          <w:sz w:val="28"/>
          <w:szCs w:val="28"/>
        </w:rPr>
      </w:pPr>
    </w:p>
    <w:p w:rsidR="00413D06" w:rsidRDefault="00413D06" w:rsidP="00413D06">
      <w:pPr>
        <w:rPr>
          <w:rFonts w:ascii="Arial" w:hAnsi="Arial" w:cs="Arial"/>
          <w:sz w:val="28"/>
          <w:szCs w:val="28"/>
        </w:rPr>
      </w:pPr>
    </w:p>
    <w:p w:rsidR="00413D06" w:rsidRDefault="00413D06" w:rsidP="00413D06">
      <w:pPr>
        <w:rPr>
          <w:rFonts w:ascii="Arial" w:hAnsi="Arial" w:cs="Arial"/>
          <w:sz w:val="28"/>
          <w:szCs w:val="28"/>
        </w:rPr>
      </w:pPr>
    </w:p>
    <w:p w:rsidR="00413D06" w:rsidRDefault="00413D06" w:rsidP="00413D06">
      <w:pPr>
        <w:rPr>
          <w:rFonts w:ascii="Arial" w:hAnsi="Arial" w:cs="Arial"/>
          <w:sz w:val="28"/>
          <w:szCs w:val="28"/>
        </w:rPr>
      </w:pPr>
    </w:p>
    <w:p w:rsidR="00413D06" w:rsidRDefault="00413D06" w:rsidP="00413D06">
      <w:pPr>
        <w:rPr>
          <w:rFonts w:ascii="Arial" w:hAnsi="Arial" w:cs="Arial"/>
          <w:sz w:val="28"/>
          <w:szCs w:val="28"/>
        </w:rPr>
      </w:pPr>
    </w:p>
    <w:p w:rsidR="00413D06" w:rsidRDefault="00413D06" w:rsidP="00413D06">
      <w:pPr>
        <w:rPr>
          <w:rFonts w:ascii="Arial" w:hAnsi="Arial" w:cs="Arial"/>
          <w:sz w:val="28"/>
          <w:szCs w:val="28"/>
        </w:rPr>
      </w:pPr>
    </w:p>
    <w:p w:rsidR="00413D06" w:rsidRPr="00861F5C" w:rsidRDefault="00413D06" w:rsidP="00413D06">
      <w:pPr>
        <w:rPr>
          <w:rFonts w:ascii="Arial" w:hAnsi="Arial" w:cs="Arial"/>
          <w:b/>
          <w:sz w:val="24"/>
          <w:szCs w:val="24"/>
        </w:rPr>
      </w:pPr>
      <w:r w:rsidRPr="00861F5C">
        <w:rPr>
          <w:rFonts w:ascii="Arial" w:hAnsi="Arial" w:cs="Arial"/>
          <w:b/>
          <w:sz w:val="24"/>
          <w:szCs w:val="24"/>
        </w:rPr>
        <w:t>Introduction</w:t>
      </w:r>
    </w:p>
    <w:p w:rsidR="00413D06" w:rsidRDefault="00413D06" w:rsidP="00413D06">
      <w:pPr>
        <w:rPr>
          <w:rFonts w:ascii="Arial" w:hAnsi="Arial" w:cs="Arial"/>
          <w:sz w:val="24"/>
          <w:szCs w:val="24"/>
        </w:rPr>
      </w:pPr>
      <w:r w:rsidRPr="00413D06">
        <w:rPr>
          <w:rFonts w:ascii="Arial" w:hAnsi="Arial" w:cs="Arial"/>
          <w:sz w:val="24"/>
          <w:szCs w:val="24"/>
        </w:rPr>
        <w:t xml:space="preserve">Neath Port Talbot </w:t>
      </w:r>
      <w:r>
        <w:rPr>
          <w:rFonts w:ascii="Arial" w:hAnsi="Arial" w:cs="Arial"/>
          <w:sz w:val="24"/>
          <w:szCs w:val="24"/>
        </w:rPr>
        <w:t>C</w:t>
      </w:r>
      <w:r w:rsidRPr="00413D06">
        <w:rPr>
          <w:rFonts w:ascii="Arial" w:hAnsi="Arial" w:cs="Arial"/>
          <w:sz w:val="24"/>
          <w:szCs w:val="24"/>
        </w:rPr>
        <w:t xml:space="preserve">ollege (NPTC) collects a large amount of data on learners and this is analysed </w:t>
      </w:r>
      <w:r>
        <w:rPr>
          <w:rFonts w:ascii="Arial" w:hAnsi="Arial" w:cs="Arial"/>
          <w:sz w:val="24"/>
          <w:szCs w:val="24"/>
        </w:rPr>
        <w:t xml:space="preserve">to provide information on retention, attainment and </w:t>
      </w:r>
      <w:r w:rsidR="0059500D">
        <w:rPr>
          <w:rFonts w:ascii="Arial" w:hAnsi="Arial" w:cs="Arial"/>
          <w:sz w:val="24"/>
          <w:szCs w:val="24"/>
        </w:rPr>
        <w:t>“</w:t>
      </w:r>
      <w:r>
        <w:rPr>
          <w:rFonts w:ascii="Arial" w:hAnsi="Arial" w:cs="Arial"/>
          <w:sz w:val="24"/>
          <w:szCs w:val="24"/>
        </w:rPr>
        <w:t>success</w:t>
      </w:r>
      <w:r w:rsidR="0059500D">
        <w:rPr>
          <w:rFonts w:ascii="Arial" w:hAnsi="Arial" w:cs="Arial"/>
          <w:sz w:val="24"/>
          <w:szCs w:val="24"/>
        </w:rPr>
        <w:t>”</w:t>
      </w:r>
      <w:r>
        <w:rPr>
          <w:rFonts w:ascii="Arial" w:hAnsi="Arial" w:cs="Arial"/>
          <w:sz w:val="24"/>
          <w:szCs w:val="24"/>
        </w:rPr>
        <w:t>. This information is often collated and analysed in terms of college, school and course level but until now it has not been explored further to provide information on specific groups of learners within the College.</w:t>
      </w:r>
    </w:p>
    <w:p w:rsidR="00C02397" w:rsidRDefault="00413D06" w:rsidP="00413D06">
      <w:pPr>
        <w:rPr>
          <w:rFonts w:ascii="Arial" w:hAnsi="Arial" w:cs="Arial"/>
          <w:sz w:val="24"/>
          <w:szCs w:val="24"/>
        </w:rPr>
      </w:pPr>
      <w:r>
        <w:rPr>
          <w:rFonts w:ascii="Arial" w:hAnsi="Arial" w:cs="Arial"/>
          <w:sz w:val="24"/>
          <w:szCs w:val="24"/>
        </w:rPr>
        <w:t xml:space="preserve">The Learning and Performance </w:t>
      </w:r>
      <w:r w:rsidR="00C02397">
        <w:rPr>
          <w:rFonts w:ascii="Arial" w:hAnsi="Arial" w:cs="Arial"/>
          <w:sz w:val="24"/>
          <w:szCs w:val="24"/>
        </w:rPr>
        <w:t>M</w:t>
      </w:r>
      <w:r>
        <w:rPr>
          <w:rFonts w:ascii="Arial" w:hAnsi="Arial" w:cs="Arial"/>
          <w:sz w:val="24"/>
          <w:szCs w:val="24"/>
        </w:rPr>
        <w:t xml:space="preserve">anagement Group of the College discussed the need for such an analysis of data to be conducted in order for strengths and weaknesses </w:t>
      </w:r>
      <w:r w:rsidR="00C02397">
        <w:rPr>
          <w:rFonts w:ascii="Arial" w:hAnsi="Arial" w:cs="Arial"/>
          <w:sz w:val="24"/>
          <w:szCs w:val="24"/>
        </w:rPr>
        <w:t>to be identified and</w:t>
      </w:r>
      <w:r w:rsidR="0059500D">
        <w:rPr>
          <w:rFonts w:ascii="Arial" w:hAnsi="Arial" w:cs="Arial"/>
          <w:sz w:val="24"/>
          <w:szCs w:val="24"/>
        </w:rPr>
        <w:t>,</w:t>
      </w:r>
      <w:r w:rsidR="00C02397">
        <w:rPr>
          <w:rFonts w:ascii="Arial" w:hAnsi="Arial" w:cs="Arial"/>
          <w:sz w:val="24"/>
          <w:szCs w:val="24"/>
        </w:rPr>
        <w:t xml:space="preserve"> if necessary</w:t>
      </w:r>
      <w:r w:rsidR="0059500D">
        <w:rPr>
          <w:rFonts w:ascii="Arial" w:hAnsi="Arial" w:cs="Arial"/>
          <w:sz w:val="24"/>
          <w:szCs w:val="24"/>
        </w:rPr>
        <w:t>,</w:t>
      </w:r>
      <w:r w:rsidR="00C02397">
        <w:rPr>
          <w:rFonts w:ascii="Arial" w:hAnsi="Arial" w:cs="Arial"/>
          <w:sz w:val="24"/>
          <w:szCs w:val="24"/>
        </w:rPr>
        <w:t xml:space="preserve"> appropriate measures be put into place to provide additional support for </w:t>
      </w:r>
      <w:r w:rsidR="00E06722">
        <w:rPr>
          <w:rFonts w:ascii="Arial" w:hAnsi="Arial" w:cs="Arial"/>
          <w:sz w:val="24"/>
          <w:szCs w:val="24"/>
        </w:rPr>
        <w:t>groups of learners</w:t>
      </w:r>
      <w:r w:rsidR="00C02397">
        <w:rPr>
          <w:rFonts w:ascii="Arial" w:hAnsi="Arial" w:cs="Arial"/>
          <w:sz w:val="24"/>
          <w:szCs w:val="24"/>
        </w:rPr>
        <w:t xml:space="preserve">. </w:t>
      </w:r>
    </w:p>
    <w:p w:rsidR="00C02397" w:rsidRDefault="00C02397" w:rsidP="00413D06">
      <w:pPr>
        <w:rPr>
          <w:rFonts w:ascii="Arial" w:hAnsi="Arial" w:cs="Arial"/>
          <w:sz w:val="24"/>
          <w:szCs w:val="24"/>
        </w:rPr>
      </w:pPr>
      <w:r>
        <w:rPr>
          <w:rFonts w:ascii="Arial" w:hAnsi="Arial" w:cs="Arial"/>
          <w:sz w:val="24"/>
          <w:szCs w:val="24"/>
        </w:rPr>
        <w:t xml:space="preserve">It was decided that the benchmarking data for </w:t>
      </w:r>
      <w:proofErr w:type="spellStart"/>
      <w:r>
        <w:rPr>
          <w:rFonts w:ascii="Arial" w:hAnsi="Arial" w:cs="Arial"/>
          <w:sz w:val="24"/>
          <w:szCs w:val="24"/>
        </w:rPr>
        <w:t>DfES</w:t>
      </w:r>
      <w:proofErr w:type="spellEnd"/>
      <w:r w:rsidR="0059500D">
        <w:rPr>
          <w:rFonts w:ascii="Arial" w:hAnsi="Arial" w:cs="Arial"/>
          <w:sz w:val="24"/>
          <w:szCs w:val="24"/>
        </w:rPr>
        <w:t>-</w:t>
      </w:r>
      <w:r>
        <w:rPr>
          <w:rFonts w:ascii="Arial" w:hAnsi="Arial" w:cs="Arial"/>
          <w:sz w:val="24"/>
          <w:szCs w:val="24"/>
        </w:rPr>
        <w:t>funded courses be used as a basis for this analysis and that the data would be looked at for the academic years 2007-2008, 2008-2009 and 2009-2010. At the time of writing this report</w:t>
      </w:r>
      <w:r w:rsidR="0059500D">
        <w:rPr>
          <w:rFonts w:ascii="Arial" w:hAnsi="Arial" w:cs="Arial"/>
          <w:sz w:val="24"/>
          <w:szCs w:val="24"/>
        </w:rPr>
        <w:t>,</w:t>
      </w:r>
      <w:r>
        <w:rPr>
          <w:rFonts w:ascii="Arial" w:hAnsi="Arial" w:cs="Arial"/>
          <w:sz w:val="24"/>
          <w:szCs w:val="24"/>
        </w:rPr>
        <w:t xml:space="preserve"> the 2010</w:t>
      </w:r>
      <w:r w:rsidR="0059500D">
        <w:rPr>
          <w:rFonts w:ascii="Arial" w:hAnsi="Arial" w:cs="Arial"/>
          <w:sz w:val="24"/>
          <w:szCs w:val="24"/>
        </w:rPr>
        <w:t>-</w:t>
      </w:r>
      <w:r>
        <w:rPr>
          <w:rFonts w:ascii="Arial" w:hAnsi="Arial" w:cs="Arial"/>
          <w:sz w:val="24"/>
          <w:szCs w:val="24"/>
        </w:rPr>
        <w:t xml:space="preserve">11 data is unavailable. It would have been beneficial to be able to analyse the data in terms of number of learners but unfortunately the benchmarking system only provided data on the basis of number of enrolments. </w:t>
      </w:r>
    </w:p>
    <w:p w:rsidR="00C02397" w:rsidRDefault="00C02397" w:rsidP="00413D06">
      <w:pPr>
        <w:rPr>
          <w:rFonts w:ascii="Arial" w:hAnsi="Arial" w:cs="Arial"/>
          <w:sz w:val="24"/>
          <w:szCs w:val="24"/>
        </w:rPr>
      </w:pPr>
      <w:r>
        <w:rPr>
          <w:rFonts w:ascii="Arial" w:hAnsi="Arial" w:cs="Arial"/>
          <w:sz w:val="24"/>
          <w:szCs w:val="24"/>
        </w:rPr>
        <w:lastRenderedPageBreak/>
        <w:t>It is possible to scrutinise the benchmarking data at a number of different levels to provide information on retention, attainment and success. Retention statistics are based on the number of enrolments completed compared to the number of enrolments on November 1</w:t>
      </w:r>
      <w:r w:rsidRPr="00C02397">
        <w:rPr>
          <w:rFonts w:ascii="Arial" w:hAnsi="Arial" w:cs="Arial"/>
          <w:sz w:val="24"/>
          <w:szCs w:val="24"/>
          <w:vertAlign w:val="superscript"/>
        </w:rPr>
        <w:t>st</w:t>
      </w:r>
      <w:r>
        <w:rPr>
          <w:rFonts w:ascii="Arial" w:hAnsi="Arial" w:cs="Arial"/>
          <w:sz w:val="24"/>
          <w:szCs w:val="24"/>
        </w:rPr>
        <w:t xml:space="preserve"> of the year in question. Attainment statistics are based on the number of enrolments achieved compared to the number of enrolments on November 1</w:t>
      </w:r>
      <w:r w:rsidRPr="00C02397">
        <w:rPr>
          <w:rFonts w:ascii="Arial" w:hAnsi="Arial" w:cs="Arial"/>
          <w:sz w:val="24"/>
          <w:szCs w:val="24"/>
          <w:vertAlign w:val="superscript"/>
        </w:rPr>
        <w:t>st</w:t>
      </w:r>
      <w:r>
        <w:rPr>
          <w:rFonts w:ascii="Arial" w:hAnsi="Arial" w:cs="Arial"/>
          <w:sz w:val="24"/>
          <w:szCs w:val="24"/>
        </w:rPr>
        <w:t xml:space="preserve">. Success percentages are calculated by multiplying the percentage retention by the percentage attainment. For example, if the retention is 90% and the attainment is 90% then the percentage success would be 90% x 90% = 81% </w:t>
      </w:r>
    </w:p>
    <w:p w:rsidR="00C02397" w:rsidRDefault="00C02397" w:rsidP="00413D06">
      <w:pPr>
        <w:rPr>
          <w:rFonts w:ascii="Arial" w:hAnsi="Arial" w:cs="Arial"/>
          <w:sz w:val="24"/>
          <w:szCs w:val="24"/>
        </w:rPr>
      </w:pPr>
      <w:r>
        <w:rPr>
          <w:rFonts w:ascii="Arial" w:hAnsi="Arial" w:cs="Arial"/>
          <w:sz w:val="24"/>
          <w:szCs w:val="24"/>
        </w:rPr>
        <w:t>It was agreed that the project would focus on the following diversity</w:t>
      </w:r>
      <w:r w:rsidR="0059500D">
        <w:rPr>
          <w:rFonts w:ascii="Arial" w:hAnsi="Arial" w:cs="Arial"/>
          <w:sz w:val="24"/>
          <w:szCs w:val="24"/>
        </w:rPr>
        <w:t>-</w:t>
      </w:r>
      <w:r>
        <w:rPr>
          <w:rFonts w:ascii="Arial" w:hAnsi="Arial" w:cs="Arial"/>
          <w:sz w:val="24"/>
          <w:szCs w:val="24"/>
        </w:rPr>
        <w:t>related groups:</w:t>
      </w:r>
    </w:p>
    <w:p w:rsidR="00C02397" w:rsidRDefault="00C02397" w:rsidP="00C02397">
      <w:pPr>
        <w:pStyle w:val="ListParagraph"/>
        <w:numPr>
          <w:ilvl w:val="0"/>
          <w:numId w:val="3"/>
        </w:numPr>
        <w:rPr>
          <w:rFonts w:ascii="Arial" w:hAnsi="Arial" w:cs="Arial"/>
          <w:sz w:val="24"/>
          <w:szCs w:val="24"/>
        </w:rPr>
      </w:pPr>
      <w:r>
        <w:rPr>
          <w:rFonts w:ascii="Arial" w:hAnsi="Arial" w:cs="Arial"/>
          <w:sz w:val="24"/>
          <w:szCs w:val="24"/>
        </w:rPr>
        <w:t>Gender</w:t>
      </w:r>
    </w:p>
    <w:p w:rsidR="00C02397" w:rsidRDefault="00C02397" w:rsidP="00C02397">
      <w:pPr>
        <w:pStyle w:val="ListParagraph"/>
        <w:numPr>
          <w:ilvl w:val="0"/>
          <w:numId w:val="3"/>
        </w:numPr>
        <w:rPr>
          <w:rFonts w:ascii="Arial" w:hAnsi="Arial" w:cs="Arial"/>
          <w:sz w:val="24"/>
          <w:szCs w:val="24"/>
        </w:rPr>
      </w:pPr>
      <w:r>
        <w:rPr>
          <w:rFonts w:ascii="Arial" w:hAnsi="Arial" w:cs="Arial"/>
          <w:sz w:val="24"/>
          <w:szCs w:val="24"/>
        </w:rPr>
        <w:t>Ethnicity</w:t>
      </w:r>
    </w:p>
    <w:p w:rsidR="00C02397" w:rsidRDefault="00C02397" w:rsidP="00C02397">
      <w:pPr>
        <w:pStyle w:val="ListParagraph"/>
        <w:numPr>
          <w:ilvl w:val="0"/>
          <w:numId w:val="3"/>
        </w:numPr>
        <w:rPr>
          <w:rFonts w:ascii="Arial" w:hAnsi="Arial" w:cs="Arial"/>
          <w:sz w:val="24"/>
          <w:szCs w:val="24"/>
        </w:rPr>
      </w:pPr>
      <w:r>
        <w:rPr>
          <w:rFonts w:ascii="Arial" w:hAnsi="Arial" w:cs="Arial"/>
          <w:sz w:val="24"/>
          <w:szCs w:val="24"/>
        </w:rPr>
        <w:t>Disability/ Learning Difficulty</w:t>
      </w:r>
    </w:p>
    <w:p w:rsidR="00C02397" w:rsidRDefault="00C02397" w:rsidP="00C02397">
      <w:pPr>
        <w:pStyle w:val="ListParagraph"/>
        <w:numPr>
          <w:ilvl w:val="0"/>
          <w:numId w:val="3"/>
        </w:numPr>
        <w:rPr>
          <w:rFonts w:ascii="Arial" w:hAnsi="Arial" w:cs="Arial"/>
          <w:sz w:val="24"/>
          <w:szCs w:val="24"/>
        </w:rPr>
      </w:pPr>
      <w:r>
        <w:rPr>
          <w:rFonts w:ascii="Arial" w:hAnsi="Arial" w:cs="Arial"/>
          <w:sz w:val="24"/>
          <w:szCs w:val="24"/>
        </w:rPr>
        <w:t xml:space="preserve">Welsh </w:t>
      </w:r>
      <w:r w:rsidR="0059500D">
        <w:rPr>
          <w:rFonts w:ascii="Arial" w:hAnsi="Arial" w:cs="Arial"/>
          <w:sz w:val="24"/>
          <w:szCs w:val="24"/>
        </w:rPr>
        <w:t>S</w:t>
      </w:r>
      <w:r>
        <w:rPr>
          <w:rFonts w:ascii="Arial" w:hAnsi="Arial" w:cs="Arial"/>
          <w:sz w:val="24"/>
          <w:szCs w:val="24"/>
        </w:rPr>
        <w:t>peakers</w:t>
      </w:r>
    </w:p>
    <w:p w:rsidR="00C02397" w:rsidRDefault="00C02397" w:rsidP="00C02397">
      <w:pPr>
        <w:pStyle w:val="ListParagraph"/>
        <w:numPr>
          <w:ilvl w:val="0"/>
          <w:numId w:val="3"/>
        </w:numPr>
        <w:rPr>
          <w:rFonts w:ascii="Arial" w:hAnsi="Arial" w:cs="Arial"/>
          <w:sz w:val="24"/>
          <w:szCs w:val="24"/>
        </w:rPr>
      </w:pPr>
      <w:r>
        <w:rPr>
          <w:rFonts w:ascii="Arial" w:hAnsi="Arial" w:cs="Arial"/>
          <w:sz w:val="24"/>
          <w:szCs w:val="24"/>
        </w:rPr>
        <w:t>Learners from Communities First areas</w:t>
      </w:r>
    </w:p>
    <w:p w:rsidR="00C02397" w:rsidRDefault="00C02397" w:rsidP="00C02397">
      <w:pPr>
        <w:pStyle w:val="ListParagraph"/>
        <w:numPr>
          <w:ilvl w:val="0"/>
          <w:numId w:val="3"/>
        </w:numPr>
        <w:rPr>
          <w:rFonts w:ascii="Arial" w:hAnsi="Arial" w:cs="Arial"/>
          <w:sz w:val="24"/>
          <w:szCs w:val="24"/>
        </w:rPr>
      </w:pPr>
      <w:r>
        <w:rPr>
          <w:rFonts w:ascii="Arial" w:hAnsi="Arial" w:cs="Arial"/>
          <w:sz w:val="24"/>
          <w:szCs w:val="24"/>
        </w:rPr>
        <w:t>Learners from the Travelling Community</w:t>
      </w:r>
    </w:p>
    <w:p w:rsidR="00C02397" w:rsidRDefault="00C02397" w:rsidP="00C02397">
      <w:pPr>
        <w:pStyle w:val="ListParagraph"/>
        <w:numPr>
          <w:ilvl w:val="0"/>
          <w:numId w:val="3"/>
        </w:numPr>
        <w:rPr>
          <w:rFonts w:ascii="Arial" w:hAnsi="Arial" w:cs="Arial"/>
          <w:sz w:val="24"/>
          <w:szCs w:val="24"/>
        </w:rPr>
      </w:pPr>
      <w:r>
        <w:rPr>
          <w:rFonts w:ascii="Arial" w:hAnsi="Arial" w:cs="Arial"/>
          <w:sz w:val="24"/>
          <w:szCs w:val="24"/>
        </w:rPr>
        <w:t xml:space="preserve">Learners with </w:t>
      </w:r>
      <w:r w:rsidR="0059500D">
        <w:rPr>
          <w:rFonts w:ascii="Arial" w:hAnsi="Arial" w:cs="Arial"/>
          <w:sz w:val="24"/>
          <w:szCs w:val="24"/>
        </w:rPr>
        <w:t>C</w:t>
      </w:r>
      <w:r>
        <w:rPr>
          <w:rFonts w:ascii="Arial" w:hAnsi="Arial" w:cs="Arial"/>
          <w:sz w:val="24"/>
          <w:szCs w:val="24"/>
        </w:rPr>
        <w:t xml:space="preserve">riminal </w:t>
      </w:r>
      <w:r w:rsidR="0059500D">
        <w:rPr>
          <w:rFonts w:ascii="Arial" w:hAnsi="Arial" w:cs="Arial"/>
          <w:sz w:val="24"/>
          <w:szCs w:val="24"/>
        </w:rPr>
        <w:t>C</w:t>
      </w:r>
      <w:r>
        <w:rPr>
          <w:rFonts w:ascii="Arial" w:hAnsi="Arial" w:cs="Arial"/>
          <w:sz w:val="24"/>
          <w:szCs w:val="24"/>
        </w:rPr>
        <w:t>onvictions</w:t>
      </w:r>
    </w:p>
    <w:p w:rsidR="00C02397" w:rsidRPr="00C02397" w:rsidRDefault="00C02397" w:rsidP="00C02397">
      <w:pPr>
        <w:pStyle w:val="ListParagraph"/>
        <w:numPr>
          <w:ilvl w:val="0"/>
          <w:numId w:val="3"/>
        </w:numPr>
        <w:rPr>
          <w:rFonts w:ascii="Arial" w:hAnsi="Arial" w:cs="Arial"/>
          <w:sz w:val="24"/>
          <w:szCs w:val="24"/>
        </w:rPr>
      </w:pPr>
      <w:r>
        <w:rPr>
          <w:rFonts w:ascii="Arial" w:hAnsi="Arial" w:cs="Arial"/>
          <w:sz w:val="24"/>
          <w:szCs w:val="24"/>
        </w:rPr>
        <w:t xml:space="preserve">Learners in </w:t>
      </w:r>
      <w:r w:rsidR="0059500D">
        <w:rPr>
          <w:rFonts w:ascii="Arial" w:hAnsi="Arial" w:cs="Arial"/>
          <w:sz w:val="24"/>
          <w:szCs w:val="24"/>
        </w:rPr>
        <w:t>R</w:t>
      </w:r>
      <w:r>
        <w:rPr>
          <w:rFonts w:ascii="Arial" w:hAnsi="Arial" w:cs="Arial"/>
          <w:sz w:val="24"/>
          <w:szCs w:val="24"/>
        </w:rPr>
        <w:t xml:space="preserve">eceipt of </w:t>
      </w:r>
      <w:r w:rsidR="0059500D">
        <w:rPr>
          <w:rFonts w:ascii="Arial" w:hAnsi="Arial" w:cs="Arial"/>
          <w:sz w:val="24"/>
          <w:szCs w:val="24"/>
        </w:rPr>
        <w:t>F</w:t>
      </w:r>
      <w:r>
        <w:rPr>
          <w:rFonts w:ascii="Arial" w:hAnsi="Arial" w:cs="Arial"/>
          <w:sz w:val="24"/>
          <w:szCs w:val="24"/>
        </w:rPr>
        <w:t xml:space="preserve">ree </w:t>
      </w:r>
      <w:r w:rsidR="0059500D">
        <w:rPr>
          <w:rFonts w:ascii="Arial" w:hAnsi="Arial" w:cs="Arial"/>
          <w:sz w:val="24"/>
          <w:szCs w:val="24"/>
        </w:rPr>
        <w:t>M</w:t>
      </w:r>
      <w:r>
        <w:rPr>
          <w:rFonts w:ascii="Arial" w:hAnsi="Arial" w:cs="Arial"/>
          <w:sz w:val="24"/>
          <w:szCs w:val="24"/>
        </w:rPr>
        <w:t>eals</w:t>
      </w:r>
      <w:r w:rsidR="0059500D">
        <w:rPr>
          <w:rFonts w:ascii="Arial" w:hAnsi="Arial" w:cs="Arial"/>
          <w:sz w:val="24"/>
          <w:szCs w:val="24"/>
        </w:rPr>
        <w:t>.</w:t>
      </w:r>
    </w:p>
    <w:p w:rsidR="00413D06" w:rsidRPr="00413D06" w:rsidRDefault="00C02397" w:rsidP="00413D06">
      <w:pPr>
        <w:rPr>
          <w:rFonts w:ascii="Arial" w:hAnsi="Arial" w:cs="Arial"/>
          <w:sz w:val="24"/>
          <w:szCs w:val="24"/>
        </w:rPr>
      </w:pPr>
      <w:r>
        <w:rPr>
          <w:rFonts w:ascii="Arial" w:hAnsi="Arial" w:cs="Arial"/>
          <w:sz w:val="24"/>
          <w:szCs w:val="24"/>
        </w:rPr>
        <w:t>Initially</w:t>
      </w:r>
      <w:r w:rsidR="0059500D">
        <w:rPr>
          <w:rFonts w:ascii="Arial" w:hAnsi="Arial" w:cs="Arial"/>
          <w:sz w:val="24"/>
          <w:szCs w:val="24"/>
        </w:rPr>
        <w:t>,</w:t>
      </w:r>
      <w:r>
        <w:rPr>
          <w:rFonts w:ascii="Arial" w:hAnsi="Arial" w:cs="Arial"/>
          <w:sz w:val="24"/>
          <w:szCs w:val="24"/>
        </w:rPr>
        <w:t xml:space="preserve"> it was also envisaged that the project would also look at the success rates of Looked </w:t>
      </w:r>
      <w:proofErr w:type="gramStart"/>
      <w:r>
        <w:rPr>
          <w:rFonts w:ascii="Arial" w:hAnsi="Arial" w:cs="Arial"/>
          <w:sz w:val="24"/>
          <w:szCs w:val="24"/>
        </w:rPr>
        <w:t>After</w:t>
      </w:r>
      <w:proofErr w:type="gramEnd"/>
      <w:r>
        <w:rPr>
          <w:rFonts w:ascii="Arial" w:hAnsi="Arial" w:cs="Arial"/>
          <w:sz w:val="24"/>
          <w:szCs w:val="24"/>
        </w:rPr>
        <w:t xml:space="preserve"> Children. The sensitive nature of this data and the protocol that exists between NPTC and Route 16 resulted in the decision that the analysis of this data remain with the designated officer for Looked </w:t>
      </w:r>
      <w:proofErr w:type="gramStart"/>
      <w:r>
        <w:rPr>
          <w:rFonts w:ascii="Arial" w:hAnsi="Arial" w:cs="Arial"/>
          <w:sz w:val="24"/>
          <w:szCs w:val="24"/>
        </w:rPr>
        <w:t>After</w:t>
      </w:r>
      <w:proofErr w:type="gramEnd"/>
      <w:r>
        <w:rPr>
          <w:rFonts w:ascii="Arial" w:hAnsi="Arial" w:cs="Arial"/>
          <w:sz w:val="24"/>
          <w:szCs w:val="24"/>
        </w:rPr>
        <w:t xml:space="preserve"> Children within Learner Services. </w:t>
      </w:r>
    </w:p>
    <w:p w:rsidR="00413D06" w:rsidRPr="00861F5C" w:rsidRDefault="00963A75" w:rsidP="00861F5C">
      <w:pPr>
        <w:rPr>
          <w:rFonts w:ascii="Arial" w:hAnsi="Arial" w:cs="Arial"/>
          <w:b/>
          <w:sz w:val="24"/>
          <w:szCs w:val="24"/>
        </w:rPr>
      </w:pPr>
      <w:r>
        <w:rPr>
          <w:rFonts w:ascii="Arial" w:hAnsi="Arial" w:cs="Arial"/>
          <w:b/>
          <w:sz w:val="24"/>
          <w:szCs w:val="24"/>
        </w:rPr>
        <w:t>Analysis of D</w:t>
      </w:r>
      <w:r w:rsidR="00861F5C" w:rsidRPr="00861F5C">
        <w:rPr>
          <w:rFonts w:ascii="Arial" w:hAnsi="Arial" w:cs="Arial"/>
          <w:b/>
          <w:sz w:val="24"/>
          <w:szCs w:val="24"/>
        </w:rPr>
        <w:t xml:space="preserve">ata by </w:t>
      </w:r>
      <w:r>
        <w:rPr>
          <w:rFonts w:ascii="Arial" w:hAnsi="Arial" w:cs="Arial"/>
          <w:b/>
          <w:sz w:val="24"/>
          <w:szCs w:val="24"/>
        </w:rPr>
        <w:t>G</w:t>
      </w:r>
      <w:r w:rsidR="00861F5C" w:rsidRPr="00861F5C">
        <w:rPr>
          <w:rFonts w:ascii="Arial" w:hAnsi="Arial" w:cs="Arial"/>
          <w:b/>
          <w:sz w:val="24"/>
          <w:szCs w:val="24"/>
        </w:rPr>
        <w:t xml:space="preserve">ender </w:t>
      </w:r>
    </w:p>
    <w:p w:rsidR="00861F5C" w:rsidRDefault="00861F5C" w:rsidP="00861F5C">
      <w:pPr>
        <w:rPr>
          <w:rFonts w:ascii="Arial" w:hAnsi="Arial" w:cs="Arial"/>
          <w:sz w:val="24"/>
          <w:szCs w:val="24"/>
        </w:rPr>
      </w:pPr>
      <w:r>
        <w:rPr>
          <w:rFonts w:ascii="Arial" w:hAnsi="Arial" w:cs="Arial"/>
          <w:sz w:val="24"/>
          <w:szCs w:val="24"/>
        </w:rPr>
        <w:t>The retention, attainment and success of males and females were compared for the academic years 2007-2008, 2008-2009, 2009-2010.</w:t>
      </w:r>
    </w:p>
    <w:p w:rsidR="00A8156E" w:rsidRDefault="00A8156E" w:rsidP="00861F5C">
      <w:pPr>
        <w:rPr>
          <w:rFonts w:ascii="Arial" w:hAnsi="Arial" w:cs="Arial"/>
          <w:sz w:val="24"/>
          <w:szCs w:val="24"/>
        </w:rPr>
      </w:pPr>
    </w:p>
    <w:p w:rsidR="00861F5C" w:rsidRPr="007A7B95" w:rsidRDefault="00861F5C" w:rsidP="00861F5C">
      <w:pPr>
        <w:rPr>
          <w:rFonts w:ascii="Arial" w:hAnsi="Arial" w:cs="Arial"/>
          <w:b/>
          <w:sz w:val="24"/>
          <w:szCs w:val="24"/>
        </w:rPr>
      </w:pPr>
      <w:r w:rsidRPr="007A7B95">
        <w:rPr>
          <w:rFonts w:ascii="Arial" w:hAnsi="Arial" w:cs="Arial"/>
          <w:b/>
          <w:sz w:val="24"/>
          <w:szCs w:val="24"/>
        </w:rPr>
        <w:t>2007-200</w:t>
      </w:r>
      <w:r w:rsidR="007A7B95" w:rsidRPr="007A7B95">
        <w:rPr>
          <w:rFonts w:ascii="Arial" w:hAnsi="Arial" w:cs="Arial"/>
          <w:b/>
          <w:sz w:val="24"/>
          <w:szCs w:val="24"/>
        </w:rPr>
        <w:t>8</w:t>
      </w:r>
    </w:p>
    <w:p w:rsidR="00861F5C" w:rsidRDefault="00861F5C" w:rsidP="00861F5C">
      <w:pPr>
        <w:rPr>
          <w:rFonts w:ascii="Arial" w:hAnsi="Arial" w:cs="Arial"/>
          <w:sz w:val="24"/>
          <w:szCs w:val="24"/>
        </w:rPr>
      </w:pPr>
      <w:r>
        <w:rPr>
          <w:rFonts w:ascii="Arial" w:hAnsi="Arial" w:cs="Arial"/>
          <w:sz w:val="24"/>
          <w:szCs w:val="24"/>
        </w:rPr>
        <w:t>Number of male enrolments</w:t>
      </w:r>
      <w:r>
        <w:rPr>
          <w:rFonts w:ascii="Arial" w:hAnsi="Arial" w:cs="Arial"/>
          <w:sz w:val="24"/>
          <w:szCs w:val="24"/>
        </w:rPr>
        <w:tab/>
      </w:r>
      <w:r>
        <w:rPr>
          <w:rFonts w:ascii="Arial" w:hAnsi="Arial" w:cs="Arial"/>
          <w:sz w:val="24"/>
          <w:szCs w:val="24"/>
        </w:rPr>
        <w:tab/>
        <w:t>=</w:t>
      </w:r>
      <w:r>
        <w:rPr>
          <w:rFonts w:ascii="Arial" w:hAnsi="Arial" w:cs="Arial"/>
          <w:sz w:val="24"/>
          <w:szCs w:val="24"/>
        </w:rPr>
        <w:tab/>
        <w:t>10</w:t>
      </w:r>
      <w:r w:rsidR="0059500D">
        <w:rPr>
          <w:rFonts w:ascii="Arial" w:hAnsi="Arial" w:cs="Arial"/>
          <w:sz w:val="24"/>
          <w:szCs w:val="24"/>
        </w:rPr>
        <w:t>,</w:t>
      </w:r>
      <w:r>
        <w:rPr>
          <w:rFonts w:ascii="Arial" w:hAnsi="Arial" w:cs="Arial"/>
          <w:sz w:val="24"/>
          <w:szCs w:val="24"/>
        </w:rPr>
        <w:t>852 (48.9%)</w:t>
      </w:r>
    </w:p>
    <w:p w:rsidR="00861F5C" w:rsidRDefault="00861F5C" w:rsidP="00861F5C">
      <w:pPr>
        <w:rPr>
          <w:rFonts w:ascii="Arial" w:hAnsi="Arial" w:cs="Arial"/>
          <w:sz w:val="24"/>
          <w:szCs w:val="24"/>
        </w:rPr>
      </w:pPr>
      <w:r>
        <w:rPr>
          <w:rFonts w:ascii="Arial" w:hAnsi="Arial" w:cs="Arial"/>
          <w:sz w:val="24"/>
          <w:szCs w:val="24"/>
        </w:rPr>
        <w:t xml:space="preserve">Number of female enrolments </w:t>
      </w:r>
      <w:r>
        <w:rPr>
          <w:rFonts w:ascii="Arial" w:hAnsi="Arial" w:cs="Arial"/>
          <w:sz w:val="24"/>
          <w:szCs w:val="24"/>
        </w:rPr>
        <w:tab/>
      </w:r>
      <w:r>
        <w:rPr>
          <w:rFonts w:ascii="Arial" w:hAnsi="Arial" w:cs="Arial"/>
          <w:sz w:val="24"/>
          <w:szCs w:val="24"/>
        </w:rPr>
        <w:tab/>
        <w:t>=</w:t>
      </w:r>
      <w:r>
        <w:rPr>
          <w:rFonts w:ascii="Arial" w:hAnsi="Arial" w:cs="Arial"/>
          <w:sz w:val="24"/>
          <w:szCs w:val="24"/>
        </w:rPr>
        <w:tab/>
        <w:t>11</w:t>
      </w:r>
      <w:r w:rsidR="0059500D">
        <w:rPr>
          <w:rFonts w:ascii="Arial" w:hAnsi="Arial" w:cs="Arial"/>
          <w:sz w:val="24"/>
          <w:szCs w:val="24"/>
        </w:rPr>
        <w:t>,</w:t>
      </w:r>
      <w:r>
        <w:rPr>
          <w:rFonts w:ascii="Arial" w:hAnsi="Arial" w:cs="Arial"/>
          <w:sz w:val="24"/>
          <w:szCs w:val="24"/>
        </w:rPr>
        <w:t>337 (51.1%)</w:t>
      </w:r>
    </w:p>
    <w:p w:rsidR="00861F5C" w:rsidRDefault="00861F5C" w:rsidP="00861F5C">
      <w:pPr>
        <w:rPr>
          <w:rFonts w:ascii="Arial" w:hAnsi="Arial" w:cs="Arial"/>
          <w:sz w:val="24"/>
          <w:szCs w:val="24"/>
        </w:rPr>
      </w:pPr>
      <w:r>
        <w:rPr>
          <w:rFonts w:ascii="Arial" w:hAnsi="Arial" w:cs="Arial"/>
          <w:sz w:val="24"/>
          <w:szCs w:val="24"/>
        </w:rPr>
        <w:t>Total number of enrolments</w:t>
      </w:r>
      <w:r>
        <w:rPr>
          <w:rFonts w:ascii="Arial" w:hAnsi="Arial" w:cs="Arial"/>
          <w:sz w:val="24"/>
          <w:szCs w:val="24"/>
        </w:rPr>
        <w:tab/>
      </w:r>
      <w:r>
        <w:rPr>
          <w:rFonts w:ascii="Arial" w:hAnsi="Arial" w:cs="Arial"/>
          <w:sz w:val="24"/>
          <w:szCs w:val="24"/>
        </w:rPr>
        <w:tab/>
        <w:t>=</w:t>
      </w:r>
      <w:r>
        <w:rPr>
          <w:rFonts w:ascii="Arial" w:hAnsi="Arial" w:cs="Arial"/>
          <w:sz w:val="24"/>
          <w:szCs w:val="24"/>
        </w:rPr>
        <w:tab/>
        <w:t>22</w:t>
      </w:r>
      <w:r w:rsidR="0059500D">
        <w:rPr>
          <w:rFonts w:ascii="Arial" w:hAnsi="Arial" w:cs="Arial"/>
          <w:sz w:val="24"/>
          <w:szCs w:val="24"/>
        </w:rPr>
        <w:t>,</w:t>
      </w:r>
      <w:r>
        <w:rPr>
          <w:rFonts w:ascii="Arial" w:hAnsi="Arial" w:cs="Arial"/>
          <w:sz w:val="24"/>
          <w:szCs w:val="24"/>
        </w:rPr>
        <w:t>189</w:t>
      </w:r>
    </w:p>
    <w:p w:rsidR="00861F5C" w:rsidRDefault="00861F5C" w:rsidP="00861F5C">
      <w:pPr>
        <w:rPr>
          <w:rFonts w:ascii="Arial" w:hAnsi="Arial" w:cs="Arial"/>
          <w:sz w:val="24"/>
          <w:szCs w:val="24"/>
        </w:rPr>
      </w:pPr>
    </w:p>
    <w:p w:rsidR="00861F5C" w:rsidRDefault="00861F5C" w:rsidP="00861F5C">
      <w:pPr>
        <w:rPr>
          <w:rFonts w:ascii="Arial" w:hAnsi="Arial" w:cs="Arial"/>
          <w:sz w:val="24"/>
          <w:szCs w:val="24"/>
        </w:rPr>
      </w:pPr>
      <w:r>
        <w:rPr>
          <w:rFonts w:ascii="Arial" w:hAnsi="Arial" w:cs="Arial"/>
          <w:sz w:val="24"/>
          <w:szCs w:val="24"/>
        </w:rPr>
        <w:t>The distribution of males and females by school is illustrated in the</w:t>
      </w:r>
      <w:r w:rsidR="008E1A6A">
        <w:rPr>
          <w:rFonts w:ascii="Arial" w:hAnsi="Arial" w:cs="Arial"/>
          <w:sz w:val="24"/>
          <w:szCs w:val="24"/>
        </w:rPr>
        <w:t xml:space="preserve"> following chart:</w:t>
      </w:r>
    </w:p>
    <w:p w:rsidR="001A564E" w:rsidRDefault="00C175CB" w:rsidP="00A75C4C">
      <w:pPr>
        <w:jc w:val="center"/>
        <w:rPr>
          <w:rFonts w:ascii="Arial" w:hAnsi="Arial" w:cs="Arial"/>
          <w:sz w:val="24"/>
          <w:szCs w:val="24"/>
        </w:rPr>
      </w:pPr>
      <w:r w:rsidRPr="00C175CB">
        <w:rPr>
          <w:rFonts w:ascii="Arial" w:hAnsi="Arial" w:cs="Arial"/>
          <w:noProof/>
          <w:sz w:val="24"/>
          <w:szCs w:val="24"/>
        </w:rPr>
        <w:drawing>
          <wp:inline distT="0" distB="0" distL="0" distR="0">
            <wp:extent cx="4572000" cy="4857751"/>
            <wp:effectExtent l="0" t="0" r="0" b="0"/>
            <wp:docPr id="10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1F5C" w:rsidRPr="00413D06" w:rsidRDefault="00861F5C" w:rsidP="00413D06">
      <w:pPr>
        <w:ind w:left="720"/>
        <w:rPr>
          <w:rFonts w:ascii="Arial" w:hAnsi="Arial" w:cs="Arial"/>
          <w:sz w:val="24"/>
          <w:szCs w:val="24"/>
        </w:rPr>
      </w:pPr>
    </w:p>
    <w:p w:rsidR="00413D06" w:rsidRDefault="007A7B95" w:rsidP="005A74A4">
      <w:pPr>
        <w:rPr>
          <w:rFonts w:ascii="Arial" w:hAnsi="Arial" w:cs="Arial"/>
          <w:sz w:val="24"/>
          <w:szCs w:val="24"/>
        </w:rPr>
      </w:pPr>
      <w:r w:rsidRPr="007A7B95">
        <w:rPr>
          <w:rFonts w:ascii="Arial" w:hAnsi="Arial" w:cs="Arial"/>
          <w:sz w:val="24"/>
          <w:szCs w:val="24"/>
        </w:rPr>
        <w:t>It can be seen that gender ste</w:t>
      </w:r>
      <w:r>
        <w:rPr>
          <w:rFonts w:ascii="Arial" w:hAnsi="Arial" w:cs="Arial"/>
          <w:sz w:val="24"/>
          <w:szCs w:val="24"/>
        </w:rPr>
        <w:t xml:space="preserve">reotyping is evident with a greater percentage of male enrolments compared to female enrolments on Engineering, Construction and Maths &amp; Science courses. The reverse is true in the case of Health, Social &amp; Childcare, Hairdressing &amp; Beauty Therapy and Humanities courses. </w:t>
      </w:r>
    </w:p>
    <w:p w:rsidR="007A7B95" w:rsidRDefault="007A7B95" w:rsidP="007A7B95">
      <w:pPr>
        <w:rPr>
          <w:rFonts w:ascii="Arial" w:hAnsi="Arial" w:cs="Arial"/>
          <w:sz w:val="24"/>
          <w:szCs w:val="24"/>
        </w:rPr>
      </w:pPr>
      <w:r>
        <w:rPr>
          <w:rFonts w:ascii="Arial" w:hAnsi="Arial" w:cs="Arial"/>
          <w:sz w:val="24"/>
          <w:szCs w:val="24"/>
        </w:rPr>
        <w:t>The following chart illustrates the retention, attainment and success of males an</w:t>
      </w:r>
      <w:r w:rsidR="008E1A6A">
        <w:rPr>
          <w:rFonts w:ascii="Arial" w:hAnsi="Arial" w:cs="Arial"/>
          <w:sz w:val="24"/>
          <w:szCs w:val="24"/>
        </w:rPr>
        <w:t>d females at NPTC in 2007-2008</w:t>
      </w:r>
      <w:r w:rsidR="001A564E">
        <w:rPr>
          <w:rFonts w:ascii="Arial" w:hAnsi="Arial" w:cs="Arial"/>
          <w:sz w:val="24"/>
          <w:szCs w:val="24"/>
        </w:rPr>
        <w:t>:</w:t>
      </w:r>
    </w:p>
    <w:p w:rsidR="001A564E" w:rsidRDefault="001A564E" w:rsidP="007A7B95">
      <w:pPr>
        <w:rPr>
          <w:rFonts w:ascii="Arial" w:hAnsi="Arial" w:cs="Arial"/>
          <w:sz w:val="24"/>
          <w:szCs w:val="24"/>
        </w:rPr>
      </w:pPr>
    </w:p>
    <w:p w:rsidR="007A7B95" w:rsidRDefault="007A7B95" w:rsidP="007A7B95">
      <w:pPr>
        <w:ind w:left="142" w:hanging="142"/>
        <w:jc w:val="center"/>
        <w:rPr>
          <w:rFonts w:ascii="Arial" w:hAnsi="Arial" w:cs="Arial"/>
          <w:sz w:val="24"/>
          <w:szCs w:val="24"/>
        </w:rPr>
      </w:pPr>
      <w:r w:rsidRPr="007A7B95">
        <w:rPr>
          <w:rFonts w:ascii="Arial" w:hAnsi="Arial" w:cs="Arial"/>
          <w:noProof/>
          <w:sz w:val="24"/>
          <w:szCs w:val="24"/>
        </w:rPr>
        <w:drawing>
          <wp:inline distT="0" distB="0" distL="0" distR="0">
            <wp:extent cx="4286250" cy="2771775"/>
            <wp:effectExtent l="1905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5640" w:rsidRDefault="00965640" w:rsidP="007A7B95">
      <w:pPr>
        <w:ind w:left="142" w:hanging="142"/>
        <w:jc w:val="center"/>
        <w:rPr>
          <w:rFonts w:ascii="Arial" w:hAnsi="Arial" w:cs="Arial"/>
          <w:sz w:val="24"/>
          <w:szCs w:val="24"/>
        </w:rPr>
      </w:pPr>
    </w:p>
    <w:p w:rsidR="008E1A6A" w:rsidRDefault="008E1A6A" w:rsidP="008E1A6A">
      <w:pPr>
        <w:rPr>
          <w:rFonts w:ascii="Arial" w:hAnsi="Arial" w:cs="Arial"/>
          <w:sz w:val="24"/>
          <w:szCs w:val="24"/>
        </w:rPr>
      </w:pPr>
      <w:r>
        <w:rPr>
          <w:rFonts w:ascii="Arial" w:hAnsi="Arial" w:cs="Arial"/>
          <w:sz w:val="24"/>
          <w:szCs w:val="24"/>
        </w:rPr>
        <w:t>In 2007-2008</w:t>
      </w:r>
      <w:r w:rsidR="0059500D">
        <w:rPr>
          <w:rFonts w:ascii="Arial" w:hAnsi="Arial" w:cs="Arial"/>
          <w:sz w:val="24"/>
          <w:szCs w:val="24"/>
        </w:rPr>
        <w:t>,</w:t>
      </w:r>
      <w:r>
        <w:rPr>
          <w:rFonts w:ascii="Arial" w:hAnsi="Arial" w:cs="Arial"/>
          <w:sz w:val="24"/>
          <w:szCs w:val="24"/>
        </w:rPr>
        <w:t xml:space="preserve"> it can be observed that the retention for both males and females is approximately equal with a male retention of 97.4% and a female retention of 97.9%. Female attainment exceeds that of males with female attainment at 67.4% and male attainment at 61.2%. In terms of success, female success was at 66.0% compared to a male success rate of 59.6%</w:t>
      </w:r>
    </w:p>
    <w:p w:rsidR="008E1A6A" w:rsidRDefault="008E1A6A" w:rsidP="008E1A6A">
      <w:pPr>
        <w:rPr>
          <w:rFonts w:ascii="Arial" w:hAnsi="Arial" w:cs="Arial"/>
          <w:sz w:val="24"/>
          <w:szCs w:val="24"/>
        </w:rPr>
      </w:pPr>
      <w:r>
        <w:rPr>
          <w:rFonts w:ascii="Arial" w:hAnsi="Arial" w:cs="Arial"/>
          <w:sz w:val="24"/>
          <w:szCs w:val="24"/>
        </w:rPr>
        <w:t>The following chart illustrates the success rates of males and females by school in 2007-2008:</w:t>
      </w:r>
    </w:p>
    <w:p w:rsidR="008E1A6A" w:rsidRDefault="005A74A4" w:rsidP="008E1A6A">
      <w:pPr>
        <w:jc w:val="center"/>
        <w:rPr>
          <w:rFonts w:ascii="Arial" w:hAnsi="Arial" w:cs="Arial"/>
          <w:sz w:val="24"/>
          <w:szCs w:val="24"/>
        </w:rPr>
      </w:pPr>
      <w:r w:rsidRPr="005A74A4">
        <w:rPr>
          <w:rFonts w:ascii="Arial" w:hAnsi="Arial" w:cs="Arial"/>
          <w:noProof/>
          <w:sz w:val="24"/>
          <w:szCs w:val="24"/>
        </w:rPr>
        <w:drawing>
          <wp:inline distT="0" distB="0" distL="0" distR="0">
            <wp:extent cx="4619625" cy="4391026"/>
            <wp:effectExtent l="19050" t="0" r="0" b="0"/>
            <wp:docPr id="18"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5640" w:rsidRDefault="00965640" w:rsidP="008E1A6A">
      <w:pPr>
        <w:jc w:val="center"/>
        <w:rPr>
          <w:rFonts w:ascii="Arial" w:hAnsi="Arial" w:cs="Arial"/>
          <w:sz w:val="24"/>
          <w:szCs w:val="24"/>
        </w:rPr>
      </w:pPr>
    </w:p>
    <w:p w:rsidR="00965640" w:rsidRDefault="00965640" w:rsidP="00965640">
      <w:pPr>
        <w:rPr>
          <w:rFonts w:ascii="Arial" w:hAnsi="Arial" w:cs="Arial"/>
          <w:sz w:val="24"/>
          <w:szCs w:val="24"/>
        </w:rPr>
      </w:pPr>
      <w:r>
        <w:rPr>
          <w:rFonts w:ascii="Arial" w:hAnsi="Arial" w:cs="Arial"/>
          <w:sz w:val="24"/>
          <w:szCs w:val="24"/>
        </w:rPr>
        <w:t>Across schools</w:t>
      </w:r>
      <w:r w:rsidR="0059500D">
        <w:rPr>
          <w:rFonts w:ascii="Arial" w:hAnsi="Arial" w:cs="Arial"/>
          <w:sz w:val="24"/>
          <w:szCs w:val="24"/>
        </w:rPr>
        <w:t>,</w:t>
      </w:r>
      <w:r>
        <w:rPr>
          <w:rFonts w:ascii="Arial" w:hAnsi="Arial" w:cs="Arial"/>
          <w:sz w:val="24"/>
          <w:szCs w:val="24"/>
        </w:rPr>
        <w:t xml:space="preserve"> the performance of males and females varied with male learners outperfor</w:t>
      </w:r>
      <w:r w:rsidR="005A74A4">
        <w:rPr>
          <w:rFonts w:ascii="Arial" w:hAnsi="Arial" w:cs="Arial"/>
          <w:sz w:val="24"/>
          <w:szCs w:val="24"/>
        </w:rPr>
        <w:t>ming female learners in ACE, CBE</w:t>
      </w:r>
      <w:r>
        <w:rPr>
          <w:rFonts w:ascii="Arial" w:hAnsi="Arial" w:cs="Arial"/>
          <w:sz w:val="24"/>
          <w:szCs w:val="24"/>
        </w:rPr>
        <w:t xml:space="preserve">, ENG, HSC, PVS, SPS and UFI. </w:t>
      </w:r>
    </w:p>
    <w:p w:rsidR="00A8156E" w:rsidRDefault="00A8156E" w:rsidP="00965640">
      <w:pPr>
        <w:rPr>
          <w:rFonts w:ascii="Arial" w:hAnsi="Arial" w:cs="Arial"/>
          <w:sz w:val="24"/>
          <w:szCs w:val="24"/>
        </w:rPr>
      </w:pPr>
    </w:p>
    <w:p w:rsidR="00965640" w:rsidRPr="00A8156E" w:rsidRDefault="00965640" w:rsidP="008E1A6A">
      <w:pPr>
        <w:rPr>
          <w:rFonts w:ascii="Arial" w:hAnsi="Arial" w:cs="Arial"/>
          <w:b/>
          <w:sz w:val="24"/>
          <w:szCs w:val="24"/>
        </w:rPr>
      </w:pPr>
      <w:r w:rsidRPr="00965640">
        <w:rPr>
          <w:rFonts w:ascii="Arial" w:hAnsi="Arial" w:cs="Arial"/>
          <w:b/>
          <w:sz w:val="24"/>
          <w:szCs w:val="24"/>
        </w:rPr>
        <w:t>2008-2009</w:t>
      </w:r>
    </w:p>
    <w:p w:rsidR="00965640" w:rsidRDefault="00965640" w:rsidP="00965640">
      <w:pPr>
        <w:rPr>
          <w:rFonts w:ascii="Arial" w:hAnsi="Arial" w:cs="Arial"/>
          <w:sz w:val="24"/>
          <w:szCs w:val="24"/>
        </w:rPr>
      </w:pPr>
      <w:r>
        <w:rPr>
          <w:rFonts w:ascii="Arial" w:hAnsi="Arial" w:cs="Arial"/>
          <w:sz w:val="24"/>
          <w:szCs w:val="24"/>
        </w:rPr>
        <w:t>Number of male enrolments</w:t>
      </w:r>
      <w:r>
        <w:rPr>
          <w:rFonts w:ascii="Arial" w:hAnsi="Arial" w:cs="Arial"/>
          <w:sz w:val="24"/>
          <w:szCs w:val="24"/>
        </w:rPr>
        <w:tab/>
      </w:r>
      <w:r>
        <w:rPr>
          <w:rFonts w:ascii="Arial" w:hAnsi="Arial" w:cs="Arial"/>
          <w:sz w:val="24"/>
          <w:szCs w:val="24"/>
        </w:rPr>
        <w:tab/>
        <w:t>=</w:t>
      </w:r>
      <w:r>
        <w:rPr>
          <w:rFonts w:ascii="Arial" w:hAnsi="Arial" w:cs="Arial"/>
          <w:sz w:val="24"/>
          <w:szCs w:val="24"/>
        </w:rPr>
        <w:tab/>
        <w:t>10</w:t>
      </w:r>
      <w:r w:rsidR="0059500D">
        <w:rPr>
          <w:rFonts w:ascii="Arial" w:hAnsi="Arial" w:cs="Arial"/>
          <w:sz w:val="24"/>
          <w:szCs w:val="24"/>
        </w:rPr>
        <w:t>,</w:t>
      </w:r>
      <w:r>
        <w:rPr>
          <w:rFonts w:ascii="Arial" w:hAnsi="Arial" w:cs="Arial"/>
          <w:sz w:val="24"/>
          <w:szCs w:val="24"/>
        </w:rPr>
        <w:t>816 (49.2%)</w:t>
      </w:r>
    </w:p>
    <w:p w:rsidR="00965640" w:rsidRDefault="00965640" w:rsidP="00965640">
      <w:pPr>
        <w:rPr>
          <w:rFonts w:ascii="Arial" w:hAnsi="Arial" w:cs="Arial"/>
          <w:sz w:val="24"/>
          <w:szCs w:val="24"/>
        </w:rPr>
      </w:pPr>
      <w:r>
        <w:rPr>
          <w:rFonts w:ascii="Arial" w:hAnsi="Arial" w:cs="Arial"/>
          <w:sz w:val="24"/>
          <w:szCs w:val="24"/>
        </w:rPr>
        <w:t xml:space="preserve">Number of female enrolments </w:t>
      </w:r>
      <w:r>
        <w:rPr>
          <w:rFonts w:ascii="Arial" w:hAnsi="Arial" w:cs="Arial"/>
          <w:sz w:val="24"/>
          <w:szCs w:val="24"/>
        </w:rPr>
        <w:tab/>
      </w:r>
      <w:r>
        <w:rPr>
          <w:rFonts w:ascii="Arial" w:hAnsi="Arial" w:cs="Arial"/>
          <w:sz w:val="24"/>
          <w:szCs w:val="24"/>
        </w:rPr>
        <w:tab/>
        <w:t>=</w:t>
      </w:r>
      <w:r>
        <w:rPr>
          <w:rFonts w:ascii="Arial" w:hAnsi="Arial" w:cs="Arial"/>
          <w:sz w:val="24"/>
          <w:szCs w:val="24"/>
        </w:rPr>
        <w:tab/>
        <w:t>11</w:t>
      </w:r>
      <w:r w:rsidR="0059500D">
        <w:rPr>
          <w:rFonts w:ascii="Arial" w:hAnsi="Arial" w:cs="Arial"/>
          <w:sz w:val="24"/>
          <w:szCs w:val="24"/>
        </w:rPr>
        <w:t>,</w:t>
      </w:r>
      <w:r>
        <w:rPr>
          <w:rFonts w:ascii="Arial" w:hAnsi="Arial" w:cs="Arial"/>
          <w:sz w:val="24"/>
          <w:szCs w:val="24"/>
        </w:rPr>
        <w:t>146 (50.8%)</w:t>
      </w:r>
    </w:p>
    <w:p w:rsidR="00965640" w:rsidRDefault="00965640" w:rsidP="00965640">
      <w:pPr>
        <w:rPr>
          <w:rFonts w:ascii="Arial" w:hAnsi="Arial" w:cs="Arial"/>
          <w:sz w:val="24"/>
          <w:szCs w:val="24"/>
        </w:rPr>
      </w:pPr>
      <w:r>
        <w:rPr>
          <w:rFonts w:ascii="Arial" w:hAnsi="Arial" w:cs="Arial"/>
          <w:sz w:val="24"/>
          <w:szCs w:val="24"/>
        </w:rPr>
        <w:t>Total number of enrolments</w:t>
      </w:r>
      <w:r>
        <w:rPr>
          <w:rFonts w:ascii="Arial" w:hAnsi="Arial" w:cs="Arial"/>
          <w:sz w:val="24"/>
          <w:szCs w:val="24"/>
        </w:rPr>
        <w:tab/>
      </w:r>
      <w:r>
        <w:rPr>
          <w:rFonts w:ascii="Arial" w:hAnsi="Arial" w:cs="Arial"/>
          <w:sz w:val="24"/>
          <w:szCs w:val="24"/>
        </w:rPr>
        <w:tab/>
        <w:t>=</w:t>
      </w:r>
      <w:r>
        <w:rPr>
          <w:rFonts w:ascii="Arial" w:hAnsi="Arial" w:cs="Arial"/>
          <w:sz w:val="24"/>
          <w:szCs w:val="24"/>
        </w:rPr>
        <w:tab/>
        <w:t>21</w:t>
      </w:r>
      <w:r w:rsidR="0059500D">
        <w:rPr>
          <w:rFonts w:ascii="Arial" w:hAnsi="Arial" w:cs="Arial"/>
          <w:sz w:val="24"/>
          <w:szCs w:val="24"/>
        </w:rPr>
        <w:t>,</w:t>
      </w:r>
      <w:r>
        <w:rPr>
          <w:rFonts w:ascii="Arial" w:hAnsi="Arial" w:cs="Arial"/>
          <w:sz w:val="24"/>
          <w:szCs w:val="24"/>
        </w:rPr>
        <w:t>962</w:t>
      </w:r>
    </w:p>
    <w:p w:rsidR="00965640" w:rsidRDefault="00965640" w:rsidP="00965640">
      <w:pPr>
        <w:rPr>
          <w:rFonts w:ascii="Arial" w:hAnsi="Arial" w:cs="Arial"/>
          <w:sz w:val="24"/>
          <w:szCs w:val="24"/>
        </w:rPr>
      </w:pPr>
    </w:p>
    <w:p w:rsidR="00965640" w:rsidRDefault="00965640" w:rsidP="00965640">
      <w:pPr>
        <w:rPr>
          <w:rFonts w:ascii="Arial" w:hAnsi="Arial" w:cs="Arial"/>
          <w:sz w:val="24"/>
          <w:szCs w:val="24"/>
        </w:rPr>
      </w:pPr>
      <w:r>
        <w:rPr>
          <w:rFonts w:ascii="Arial" w:hAnsi="Arial" w:cs="Arial"/>
          <w:sz w:val="24"/>
          <w:szCs w:val="24"/>
        </w:rPr>
        <w:t>The distribution of males and females by school is illustrated in the following chart:</w:t>
      </w:r>
    </w:p>
    <w:p w:rsidR="00965640" w:rsidRDefault="00965640" w:rsidP="008E1A6A">
      <w:pPr>
        <w:rPr>
          <w:rFonts w:ascii="Arial" w:hAnsi="Arial" w:cs="Arial"/>
          <w:sz w:val="24"/>
          <w:szCs w:val="24"/>
        </w:rPr>
      </w:pPr>
    </w:p>
    <w:p w:rsidR="00965640" w:rsidRDefault="00F1530C" w:rsidP="00A83BE8">
      <w:pPr>
        <w:jc w:val="center"/>
        <w:rPr>
          <w:rFonts w:ascii="Arial" w:hAnsi="Arial" w:cs="Arial"/>
          <w:sz w:val="24"/>
          <w:szCs w:val="24"/>
        </w:rPr>
      </w:pPr>
      <w:r w:rsidRPr="00F1530C">
        <w:rPr>
          <w:rFonts w:ascii="Arial" w:hAnsi="Arial" w:cs="Arial"/>
          <w:noProof/>
          <w:sz w:val="24"/>
          <w:szCs w:val="24"/>
        </w:rPr>
        <w:drawing>
          <wp:inline distT="0" distB="0" distL="0" distR="0">
            <wp:extent cx="4226943" cy="4744528"/>
            <wp:effectExtent l="0" t="0" r="0" b="0"/>
            <wp:docPr id="10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5640" w:rsidRDefault="00965640" w:rsidP="00965640">
      <w:pPr>
        <w:jc w:val="center"/>
        <w:rPr>
          <w:rFonts w:ascii="Arial" w:hAnsi="Arial" w:cs="Arial"/>
          <w:sz w:val="24"/>
          <w:szCs w:val="24"/>
        </w:rPr>
      </w:pPr>
    </w:p>
    <w:p w:rsidR="0050125C" w:rsidRDefault="0050125C" w:rsidP="0050125C">
      <w:pPr>
        <w:rPr>
          <w:rFonts w:ascii="Arial" w:hAnsi="Arial" w:cs="Arial"/>
          <w:sz w:val="24"/>
          <w:szCs w:val="24"/>
        </w:rPr>
      </w:pPr>
      <w:r>
        <w:rPr>
          <w:rFonts w:ascii="Arial" w:hAnsi="Arial" w:cs="Arial"/>
          <w:sz w:val="24"/>
          <w:szCs w:val="24"/>
        </w:rPr>
        <w:t>It must be noted that in 2008-2009 the enrolments for AS and A Level</w:t>
      </w:r>
      <w:r w:rsidR="0059500D">
        <w:rPr>
          <w:rFonts w:ascii="Arial" w:hAnsi="Arial" w:cs="Arial"/>
          <w:sz w:val="24"/>
          <w:szCs w:val="24"/>
        </w:rPr>
        <w:t xml:space="preserve">s </w:t>
      </w:r>
      <w:r w:rsidR="00FE39C2">
        <w:rPr>
          <w:rFonts w:ascii="Arial" w:hAnsi="Arial" w:cs="Arial"/>
          <w:sz w:val="24"/>
          <w:szCs w:val="24"/>
        </w:rPr>
        <w:t>in SSL and MAS were amalgamated into the Faculty of 6</w:t>
      </w:r>
      <w:r w:rsidR="00FE39C2" w:rsidRPr="00FE39C2">
        <w:rPr>
          <w:rFonts w:ascii="Arial" w:hAnsi="Arial" w:cs="Arial"/>
          <w:sz w:val="24"/>
          <w:szCs w:val="24"/>
          <w:vertAlign w:val="superscript"/>
        </w:rPr>
        <w:t>th</w:t>
      </w:r>
      <w:r w:rsidR="00FE39C2">
        <w:rPr>
          <w:rFonts w:ascii="Arial" w:hAnsi="Arial" w:cs="Arial"/>
          <w:sz w:val="24"/>
          <w:szCs w:val="24"/>
        </w:rPr>
        <w:t xml:space="preserve"> Form. It is no longer possible to disaggregate the retention, attainment and success of these two schools. </w:t>
      </w:r>
    </w:p>
    <w:p w:rsidR="00FE39C2" w:rsidRDefault="00FE39C2" w:rsidP="0050125C">
      <w:pPr>
        <w:rPr>
          <w:rFonts w:ascii="Arial" w:hAnsi="Arial" w:cs="Arial"/>
          <w:sz w:val="24"/>
          <w:szCs w:val="24"/>
        </w:rPr>
      </w:pPr>
      <w:r>
        <w:rPr>
          <w:rFonts w:ascii="Arial" w:hAnsi="Arial" w:cs="Arial"/>
          <w:sz w:val="24"/>
          <w:szCs w:val="24"/>
        </w:rPr>
        <w:t>The following chart illustrates the retention, attainment and success of males and females at NPTC in 2008-2009</w:t>
      </w:r>
      <w:r w:rsidR="001A564E">
        <w:rPr>
          <w:rFonts w:ascii="Arial" w:hAnsi="Arial" w:cs="Arial"/>
          <w:sz w:val="24"/>
          <w:szCs w:val="24"/>
        </w:rPr>
        <w:t>:</w:t>
      </w:r>
    </w:p>
    <w:p w:rsidR="00FE39C2" w:rsidRDefault="00FE39C2" w:rsidP="00A8156E">
      <w:pPr>
        <w:jc w:val="center"/>
        <w:rPr>
          <w:rFonts w:ascii="Arial" w:hAnsi="Arial" w:cs="Arial"/>
          <w:sz w:val="24"/>
          <w:szCs w:val="24"/>
        </w:rPr>
      </w:pPr>
      <w:r w:rsidRPr="00FE39C2">
        <w:rPr>
          <w:rFonts w:ascii="Arial" w:hAnsi="Arial" w:cs="Arial"/>
          <w:noProof/>
          <w:sz w:val="24"/>
          <w:szCs w:val="24"/>
        </w:rPr>
        <w:drawing>
          <wp:inline distT="0" distB="0" distL="0" distR="0">
            <wp:extent cx="4000500" cy="2257425"/>
            <wp:effectExtent l="0" t="0" r="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7D44" w:rsidRDefault="00207D44" w:rsidP="00207D44">
      <w:pPr>
        <w:rPr>
          <w:rFonts w:ascii="Arial" w:hAnsi="Arial" w:cs="Arial"/>
          <w:sz w:val="24"/>
          <w:szCs w:val="24"/>
        </w:rPr>
      </w:pPr>
      <w:r>
        <w:rPr>
          <w:rFonts w:ascii="Arial" w:hAnsi="Arial" w:cs="Arial"/>
          <w:sz w:val="24"/>
          <w:szCs w:val="24"/>
        </w:rPr>
        <w:t>In 2008-2009</w:t>
      </w:r>
      <w:r w:rsidR="0059500D">
        <w:rPr>
          <w:rFonts w:ascii="Arial" w:hAnsi="Arial" w:cs="Arial"/>
          <w:sz w:val="24"/>
          <w:szCs w:val="24"/>
        </w:rPr>
        <w:t>,</w:t>
      </w:r>
      <w:r>
        <w:rPr>
          <w:rFonts w:ascii="Arial" w:hAnsi="Arial" w:cs="Arial"/>
          <w:sz w:val="24"/>
          <w:szCs w:val="24"/>
        </w:rPr>
        <w:t xml:space="preserve"> it can be observed that the retention for both males and females is approximately equal with a male retention of 98.7% and a female retention of 98.2%. Female and male attainments are approximately equal with male attainment at 76.0% and female attainment at 76.1%. In terms of success, female success was at 74.7% compared </w:t>
      </w:r>
      <w:r w:rsidR="005C7A86">
        <w:rPr>
          <w:rFonts w:ascii="Arial" w:hAnsi="Arial" w:cs="Arial"/>
          <w:sz w:val="24"/>
          <w:szCs w:val="24"/>
        </w:rPr>
        <w:t>to a male success rate of 75.0%</w:t>
      </w:r>
    </w:p>
    <w:p w:rsidR="00207D44" w:rsidRDefault="00207D44" w:rsidP="00207D44">
      <w:pPr>
        <w:rPr>
          <w:rFonts w:ascii="Arial" w:hAnsi="Arial" w:cs="Arial"/>
          <w:sz w:val="24"/>
          <w:szCs w:val="24"/>
        </w:rPr>
      </w:pPr>
      <w:r>
        <w:rPr>
          <w:rFonts w:ascii="Arial" w:hAnsi="Arial" w:cs="Arial"/>
          <w:sz w:val="24"/>
          <w:szCs w:val="24"/>
        </w:rPr>
        <w:t>The following chart illustrates the success of males and females by school in 2008-2009:</w:t>
      </w:r>
    </w:p>
    <w:p w:rsidR="001A564E" w:rsidRDefault="001A564E" w:rsidP="00207D44">
      <w:pPr>
        <w:rPr>
          <w:rFonts w:ascii="Arial" w:hAnsi="Arial" w:cs="Arial"/>
          <w:sz w:val="24"/>
          <w:szCs w:val="24"/>
        </w:rPr>
      </w:pPr>
    </w:p>
    <w:p w:rsidR="00207D44" w:rsidRDefault="005A74A4" w:rsidP="00207D44">
      <w:pPr>
        <w:jc w:val="center"/>
        <w:rPr>
          <w:rFonts w:ascii="Arial" w:hAnsi="Arial" w:cs="Arial"/>
          <w:sz w:val="24"/>
          <w:szCs w:val="24"/>
        </w:rPr>
      </w:pPr>
      <w:r w:rsidRPr="005A74A4">
        <w:rPr>
          <w:rFonts w:ascii="Arial" w:hAnsi="Arial" w:cs="Arial"/>
          <w:noProof/>
          <w:sz w:val="24"/>
          <w:szCs w:val="24"/>
        </w:rPr>
        <w:drawing>
          <wp:inline distT="0" distB="0" distL="0" distR="0">
            <wp:extent cx="4572000" cy="4581525"/>
            <wp:effectExtent l="0" t="0" r="0" b="0"/>
            <wp:docPr id="20"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156E" w:rsidRDefault="00A8156E" w:rsidP="00207D44">
      <w:pPr>
        <w:jc w:val="center"/>
        <w:rPr>
          <w:rFonts w:ascii="Arial" w:hAnsi="Arial" w:cs="Arial"/>
          <w:sz w:val="24"/>
          <w:szCs w:val="24"/>
        </w:rPr>
      </w:pPr>
    </w:p>
    <w:p w:rsidR="000C689A" w:rsidRPr="000C689A" w:rsidRDefault="000C689A" w:rsidP="000C689A">
      <w:pPr>
        <w:rPr>
          <w:rFonts w:ascii="Arial" w:hAnsi="Arial" w:cs="Arial"/>
          <w:b/>
          <w:sz w:val="24"/>
          <w:szCs w:val="24"/>
        </w:rPr>
      </w:pPr>
      <w:r w:rsidRPr="000C689A">
        <w:rPr>
          <w:rFonts w:ascii="Arial" w:hAnsi="Arial" w:cs="Arial"/>
          <w:b/>
          <w:sz w:val="24"/>
          <w:szCs w:val="24"/>
        </w:rPr>
        <w:t>2009-2010</w:t>
      </w:r>
    </w:p>
    <w:p w:rsidR="000C689A" w:rsidRDefault="000C689A" w:rsidP="000C689A">
      <w:pPr>
        <w:rPr>
          <w:rFonts w:ascii="Arial" w:hAnsi="Arial" w:cs="Arial"/>
          <w:sz w:val="24"/>
          <w:szCs w:val="24"/>
        </w:rPr>
      </w:pPr>
      <w:r>
        <w:rPr>
          <w:rFonts w:ascii="Arial" w:hAnsi="Arial" w:cs="Arial"/>
          <w:sz w:val="24"/>
          <w:szCs w:val="24"/>
        </w:rPr>
        <w:t>Number of male enrolments</w:t>
      </w:r>
      <w:r>
        <w:rPr>
          <w:rFonts w:ascii="Arial" w:hAnsi="Arial" w:cs="Arial"/>
          <w:sz w:val="24"/>
          <w:szCs w:val="24"/>
        </w:rPr>
        <w:tab/>
      </w:r>
      <w:r>
        <w:rPr>
          <w:rFonts w:ascii="Arial" w:hAnsi="Arial" w:cs="Arial"/>
          <w:sz w:val="24"/>
          <w:szCs w:val="24"/>
        </w:rPr>
        <w:tab/>
        <w:t>=</w:t>
      </w:r>
      <w:r>
        <w:rPr>
          <w:rFonts w:ascii="Arial" w:hAnsi="Arial" w:cs="Arial"/>
          <w:sz w:val="24"/>
          <w:szCs w:val="24"/>
        </w:rPr>
        <w:tab/>
        <w:t>12</w:t>
      </w:r>
      <w:r w:rsidR="0059500D">
        <w:rPr>
          <w:rFonts w:ascii="Arial" w:hAnsi="Arial" w:cs="Arial"/>
          <w:sz w:val="24"/>
          <w:szCs w:val="24"/>
        </w:rPr>
        <w:t>,</w:t>
      </w:r>
      <w:r>
        <w:rPr>
          <w:rFonts w:ascii="Arial" w:hAnsi="Arial" w:cs="Arial"/>
          <w:sz w:val="24"/>
          <w:szCs w:val="24"/>
        </w:rPr>
        <w:t>454 (49.7%)</w:t>
      </w:r>
    </w:p>
    <w:p w:rsidR="000C689A" w:rsidRDefault="000C689A" w:rsidP="000C689A">
      <w:pPr>
        <w:rPr>
          <w:rFonts w:ascii="Arial" w:hAnsi="Arial" w:cs="Arial"/>
          <w:sz w:val="24"/>
          <w:szCs w:val="24"/>
        </w:rPr>
      </w:pPr>
      <w:r>
        <w:rPr>
          <w:rFonts w:ascii="Arial" w:hAnsi="Arial" w:cs="Arial"/>
          <w:sz w:val="24"/>
          <w:szCs w:val="24"/>
        </w:rPr>
        <w:t xml:space="preserve">Number of female enrolments </w:t>
      </w:r>
      <w:r>
        <w:rPr>
          <w:rFonts w:ascii="Arial" w:hAnsi="Arial" w:cs="Arial"/>
          <w:sz w:val="24"/>
          <w:szCs w:val="24"/>
        </w:rPr>
        <w:tab/>
      </w:r>
      <w:r>
        <w:rPr>
          <w:rFonts w:ascii="Arial" w:hAnsi="Arial" w:cs="Arial"/>
          <w:sz w:val="24"/>
          <w:szCs w:val="24"/>
        </w:rPr>
        <w:tab/>
        <w:t>=</w:t>
      </w:r>
      <w:r>
        <w:rPr>
          <w:rFonts w:ascii="Arial" w:hAnsi="Arial" w:cs="Arial"/>
          <w:sz w:val="24"/>
          <w:szCs w:val="24"/>
        </w:rPr>
        <w:tab/>
        <w:t>12</w:t>
      </w:r>
      <w:r w:rsidR="0059500D">
        <w:rPr>
          <w:rFonts w:ascii="Arial" w:hAnsi="Arial" w:cs="Arial"/>
          <w:sz w:val="24"/>
          <w:szCs w:val="24"/>
        </w:rPr>
        <w:t>,</w:t>
      </w:r>
      <w:r>
        <w:rPr>
          <w:rFonts w:ascii="Arial" w:hAnsi="Arial" w:cs="Arial"/>
          <w:sz w:val="24"/>
          <w:szCs w:val="24"/>
        </w:rPr>
        <w:t>593 (50.3%)</w:t>
      </w:r>
    </w:p>
    <w:p w:rsidR="000C689A" w:rsidRDefault="000C689A" w:rsidP="000C689A">
      <w:pPr>
        <w:rPr>
          <w:rFonts w:ascii="Arial" w:hAnsi="Arial" w:cs="Arial"/>
          <w:sz w:val="24"/>
          <w:szCs w:val="24"/>
        </w:rPr>
      </w:pPr>
      <w:r>
        <w:rPr>
          <w:rFonts w:ascii="Arial" w:hAnsi="Arial" w:cs="Arial"/>
          <w:sz w:val="24"/>
          <w:szCs w:val="24"/>
        </w:rPr>
        <w:t>Total number of enrolments</w:t>
      </w:r>
      <w:r>
        <w:rPr>
          <w:rFonts w:ascii="Arial" w:hAnsi="Arial" w:cs="Arial"/>
          <w:sz w:val="24"/>
          <w:szCs w:val="24"/>
        </w:rPr>
        <w:tab/>
      </w:r>
      <w:r>
        <w:rPr>
          <w:rFonts w:ascii="Arial" w:hAnsi="Arial" w:cs="Arial"/>
          <w:sz w:val="24"/>
          <w:szCs w:val="24"/>
        </w:rPr>
        <w:tab/>
        <w:t>=</w:t>
      </w:r>
      <w:r>
        <w:rPr>
          <w:rFonts w:ascii="Arial" w:hAnsi="Arial" w:cs="Arial"/>
          <w:sz w:val="24"/>
          <w:szCs w:val="24"/>
        </w:rPr>
        <w:tab/>
        <w:t>25</w:t>
      </w:r>
      <w:r w:rsidR="0059500D">
        <w:rPr>
          <w:rFonts w:ascii="Arial" w:hAnsi="Arial" w:cs="Arial"/>
          <w:sz w:val="24"/>
          <w:szCs w:val="24"/>
        </w:rPr>
        <w:t>,</w:t>
      </w:r>
      <w:r>
        <w:rPr>
          <w:rFonts w:ascii="Arial" w:hAnsi="Arial" w:cs="Arial"/>
          <w:sz w:val="24"/>
          <w:szCs w:val="24"/>
        </w:rPr>
        <w:t>047</w:t>
      </w:r>
    </w:p>
    <w:p w:rsidR="00A8156E" w:rsidRDefault="00A8156E" w:rsidP="000C689A">
      <w:pPr>
        <w:rPr>
          <w:rFonts w:ascii="Arial" w:hAnsi="Arial" w:cs="Arial"/>
          <w:sz w:val="24"/>
          <w:szCs w:val="24"/>
        </w:rPr>
      </w:pPr>
    </w:p>
    <w:p w:rsidR="000C689A" w:rsidRDefault="000C689A" w:rsidP="000C689A">
      <w:pPr>
        <w:rPr>
          <w:rFonts w:ascii="Arial" w:hAnsi="Arial" w:cs="Arial"/>
          <w:sz w:val="24"/>
          <w:szCs w:val="24"/>
        </w:rPr>
      </w:pPr>
      <w:r>
        <w:rPr>
          <w:rFonts w:ascii="Arial" w:hAnsi="Arial" w:cs="Arial"/>
          <w:sz w:val="24"/>
          <w:szCs w:val="24"/>
        </w:rPr>
        <w:t>The distribution of males and females by school is illustrated in the following chart:</w:t>
      </w:r>
    </w:p>
    <w:p w:rsidR="000C689A" w:rsidRDefault="0078618F" w:rsidP="00A8156E">
      <w:pPr>
        <w:jc w:val="center"/>
        <w:rPr>
          <w:rFonts w:ascii="Arial" w:hAnsi="Arial" w:cs="Arial"/>
          <w:sz w:val="24"/>
          <w:szCs w:val="24"/>
        </w:rPr>
      </w:pPr>
      <w:r w:rsidRPr="0078618F">
        <w:rPr>
          <w:rFonts w:ascii="Arial" w:hAnsi="Arial" w:cs="Arial"/>
          <w:noProof/>
          <w:sz w:val="24"/>
          <w:szCs w:val="24"/>
        </w:rPr>
        <w:drawing>
          <wp:inline distT="0" distB="0" distL="0" distR="0">
            <wp:extent cx="4572000" cy="5048251"/>
            <wp:effectExtent l="0" t="0" r="0" b="0"/>
            <wp:docPr id="10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564E" w:rsidRDefault="001A564E" w:rsidP="000C689A">
      <w:pPr>
        <w:rPr>
          <w:rFonts w:ascii="Arial" w:hAnsi="Arial" w:cs="Arial"/>
          <w:sz w:val="24"/>
          <w:szCs w:val="24"/>
        </w:rPr>
      </w:pPr>
    </w:p>
    <w:p w:rsidR="000E0CD9" w:rsidRDefault="000C689A" w:rsidP="000C689A">
      <w:pPr>
        <w:rPr>
          <w:rFonts w:ascii="Arial" w:hAnsi="Arial" w:cs="Arial"/>
          <w:sz w:val="24"/>
          <w:szCs w:val="24"/>
        </w:rPr>
      </w:pPr>
      <w:r>
        <w:rPr>
          <w:rFonts w:ascii="Arial" w:hAnsi="Arial" w:cs="Arial"/>
          <w:sz w:val="24"/>
          <w:szCs w:val="24"/>
        </w:rPr>
        <w:t>The following chart illustrates the retention, attainment and success of males and female</w:t>
      </w:r>
      <w:r w:rsidR="001A564E">
        <w:rPr>
          <w:rFonts w:ascii="Arial" w:hAnsi="Arial" w:cs="Arial"/>
          <w:sz w:val="24"/>
          <w:szCs w:val="24"/>
        </w:rPr>
        <w:t xml:space="preserve"> at NPTC in 2009-2010:</w:t>
      </w:r>
    </w:p>
    <w:p w:rsidR="000C689A" w:rsidRDefault="000C689A" w:rsidP="000E0CD9">
      <w:pPr>
        <w:jc w:val="center"/>
        <w:rPr>
          <w:rFonts w:ascii="Arial" w:hAnsi="Arial" w:cs="Arial"/>
          <w:sz w:val="24"/>
          <w:szCs w:val="24"/>
        </w:rPr>
      </w:pPr>
      <w:r w:rsidRPr="000C689A">
        <w:rPr>
          <w:rFonts w:ascii="Arial" w:hAnsi="Arial" w:cs="Arial"/>
          <w:noProof/>
          <w:sz w:val="24"/>
          <w:szCs w:val="24"/>
        </w:rPr>
        <w:drawing>
          <wp:inline distT="0" distB="0" distL="0" distR="0">
            <wp:extent cx="3838575" cy="2095500"/>
            <wp:effectExtent l="19050" t="0" r="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010C" w:rsidRDefault="0086010C" w:rsidP="000C689A">
      <w:pPr>
        <w:rPr>
          <w:rFonts w:ascii="Arial" w:hAnsi="Arial" w:cs="Arial"/>
          <w:sz w:val="24"/>
          <w:szCs w:val="24"/>
        </w:rPr>
      </w:pPr>
      <w:r>
        <w:rPr>
          <w:rFonts w:ascii="Arial" w:hAnsi="Arial" w:cs="Arial"/>
          <w:sz w:val="24"/>
          <w:szCs w:val="24"/>
        </w:rPr>
        <w:t>In 2009-2010</w:t>
      </w:r>
      <w:r w:rsidR="0059500D">
        <w:rPr>
          <w:rFonts w:ascii="Arial" w:hAnsi="Arial" w:cs="Arial"/>
          <w:sz w:val="24"/>
          <w:szCs w:val="24"/>
        </w:rPr>
        <w:t>,</w:t>
      </w:r>
      <w:r>
        <w:rPr>
          <w:rFonts w:ascii="Arial" w:hAnsi="Arial" w:cs="Arial"/>
          <w:sz w:val="24"/>
          <w:szCs w:val="24"/>
        </w:rPr>
        <w:t xml:space="preserve"> it can be observed that the retention for both males and females is approximately equal with a male retention of 91.0 % and a female retention of 90.6%. Female and male attainments are similar with a male attainment of 82.2% and </w:t>
      </w:r>
      <w:r w:rsidR="0059500D">
        <w:rPr>
          <w:rFonts w:ascii="Arial" w:hAnsi="Arial" w:cs="Arial"/>
          <w:sz w:val="24"/>
          <w:szCs w:val="24"/>
        </w:rPr>
        <w:t xml:space="preserve">a </w:t>
      </w:r>
      <w:r>
        <w:rPr>
          <w:rFonts w:ascii="Arial" w:hAnsi="Arial" w:cs="Arial"/>
          <w:sz w:val="24"/>
          <w:szCs w:val="24"/>
        </w:rPr>
        <w:t>female attainment of 81.6%. In terms of success, female success was 73.9% compared to a male success rate of 74.8%.</w:t>
      </w:r>
    </w:p>
    <w:p w:rsidR="0086010C" w:rsidRDefault="0086010C" w:rsidP="000C689A">
      <w:pPr>
        <w:rPr>
          <w:rFonts w:ascii="Arial" w:hAnsi="Arial" w:cs="Arial"/>
          <w:sz w:val="24"/>
          <w:szCs w:val="24"/>
        </w:rPr>
      </w:pPr>
      <w:r>
        <w:rPr>
          <w:rFonts w:ascii="Arial" w:hAnsi="Arial" w:cs="Arial"/>
          <w:sz w:val="24"/>
          <w:szCs w:val="24"/>
        </w:rPr>
        <w:t>The following chart illustrates the success of males and females by school in 2009-2010:</w:t>
      </w:r>
    </w:p>
    <w:p w:rsidR="001A564E" w:rsidRDefault="001A564E" w:rsidP="000C689A">
      <w:pPr>
        <w:rPr>
          <w:rFonts w:ascii="Arial" w:hAnsi="Arial" w:cs="Arial"/>
          <w:sz w:val="24"/>
          <w:szCs w:val="24"/>
        </w:rPr>
      </w:pPr>
    </w:p>
    <w:p w:rsidR="00A8156E" w:rsidRDefault="00A8156E" w:rsidP="00A8156E">
      <w:pPr>
        <w:jc w:val="center"/>
        <w:rPr>
          <w:rFonts w:ascii="Arial" w:hAnsi="Arial" w:cs="Arial"/>
          <w:sz w:val="24"/>
          <w:szCs w:val="24"/>
        </w:rPr>
      </w:pPr>
      <w:r w:rsidRPr="00A8156E">
        <w:rPr>
          <w:rFonts w:ascii="Arial" w:hAnsi="Arial" w:cs="Arial"/>
          <w:noProof/>
          <w:sz w:val="24"/>
          <w:szCs w:val="24"/>
        </w:rPr>
        <w:drawing>
          <wp:inline distT="0" distB="0" distL="0" distR="0">
            <wp:extent cx="4572000" cy="5086351"/>
            <wp:effectExtent l="0" t="0" r="0" b="0"/>
            <wp:docPr id="2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6010C" w:rsidRDefault="0086010C" w:rsidP="0086010C">
      <w:pPr>
        <w:jc w:val="center"/>
        <w:rPr>
          <w:rFonts w:ascii="Arial" w:hAnsi="Arial" w:cs="Arial"/>
          <w:sz w:val="24"/>
          <w:szCs w:val="24"/>
        </w:rPr>
      </w:pPr>
    </w:p>
    <w:p w:rsidR="0086010C" w:rsidRDefault="000E0CD9" w:rsidP="0086010C">
      <w:pPr>
        <w:rPr>
          <w:rFonts w:ascii="Arial" w:hAnsi="Arial" w:cs="Arial"/>
          <w:sz w:val="24"/>
          <w:szCs w:val="24"/>
        </w:rPr>
      </w:pPr>
      <w:r>
        <w:rPr>
          <w:rFonts w:ascii="Arial" w:hAnsi="Arial" w:cs="Arial"/>
          <w:sz w:val="24"/>
          <w:szCs w:val="24"/>
        </w:rPr>
        <w:t>It is surprising to note that despite the very small number of female enrolments in BES</w:t>
      </w:r>
      <w:r w:rsidR="0059500D">
        <w:rPr>
          <w:rFonts w:ascii="Arial" w:hAnsi="Arial" w:cs="Arial"/>
          <w:sz w:val="24"/>
          <w:szCs w:val="24"/>
        </w:rPr>
        <w:t>,</w:t>
      </w:r>
      <w:r>
        <w:rPr>
          <w:rFonts w:ascii="Arial" w:hAnsi="Arial" w:cs="Arial"/>
          <w:sz w:val="24"/>
          <w:szCs w:val="24"/>
        </w:rPr>
        <w:t xml:space="preserve"> the success rate of females exceeds that of their male counterparts. </w:t>
      </w:r>
    </w:p>
    <w:p w:rsidR="00A8156E" w:rsidRDefault="00A8156E" w:rsidP="0086010C">
      <w:pPr>
        <w:rPr>
          <w:rFonts w:ascii="Arial" w:hAnsi="Arial" w:cs="Arial"/>
          <w:sz w:val="24"/>
          <w:szCs w:val="24"/>
        </w:rPr>
      </w:pPr>
    </w:p>
    <w:p w:rsidR="00A8156E" w:rsidRDefault="00A8156E" w:rsidP="0086010C">
      <w:pPr>
        <w:rPr>
          <w:rFonts w:ascii="Arial" w:hAnsi="Arial" w:cs="Arial"/>
          <w:sz w:val="24"/>
          <w:szCs w:val="24"/>
        </w:rPr>
      </w:pPr>
    </w:p>
    <w:p w:rsidR="000E0CD9" w:rsidRDefault="000E0CD9" w:rsidP="0086010C">
      <w:pPr>
        <w:rPr>
          <w:rFonts w:ascii="Arial" w:hAnsi="Arial" w:cs="Arial"/>
          <w:sz w:val="24"/>
          <w:szCs w:val="24"/>
        </w:rPr>
      </w:pPr>
      <w:r>
        <w:rPr>
          <w:rFonts w:ascii="Arial" w:hAnsi="Arial" w:cs="Arial"/>
          <w:sz w:val="24"/>
          <w:szCs w:val="24"/>
        </w:rPr>
        <w:t>At Neath Port Talbot College</w:t>
      </w:r>
      <w:r w:rsidR="0059500D">
        <w:rPr>
          <w:rFonts w:ascii="Arial" w:hAnsi="Arial" w:cs="Arial"/>
          <w:sz w:val="24"/>
          <w:szCs w:val="24"/>
        </w:rPr>
        <w:t>,</w:t>
      </w:r>
      <w:r>
        <w:rPr>
          <w:rFonts w:ascii="Arial" w:hAnsi="Arial" w:cs="Arial"/>
          <w:sz w:val="24"/>
          <w:szCs w:val="24"/>
        </w:rPr>
        <w:t xml:space="preserve"> the percentage of enrolments by gender appears to be consistent over the three years investigated with slightly more enrolments from females than males.</w:t>
      </w:r>
    </w:p>
    <w:tbl>
      <w:tblPr>
        <w:tblStyle w:val="TableGrid"/>
        <w:tblW w:w="0" w:type="auto"/>
        <w:tblLook w:val="04A0"/>
      </w:tblPr>
      <w:tblGrid>
        <w:gridCol w:w="2310"/>
        <w:gridCol w:w="2310"/>
        <w:gridCol w:w="2311"/>
        <w:gridCol w:w="2311"/>
      </w:tblGrid>
      <w:tr w:rsidR="000E0CD9" w:rsidTr="000E0CD9">
        <w:tc>
          <w:tcPr>
            <w:tcW w:w="2310" w:type="dxa"/>
            <w:shd w:val="clear" w:color="auto" w:fill="E5B8B7" w:themeFill="accent2" w:themeFillTint="66"/>
          </w:tcPr>
          <w:p w:rsidR="000E0CD9" w:rsidRDefault="000E0CD9" w:rsidP="0086010C">
            <w:pPr>
              <w:rPr>
                <w:rFonts w:ascii="Arial" w:hAnsi="Arial" w:cs="Arial"/>
                <w:sz w:val="24"/>
                <w:szCs w:val="24"/>
              </w:rPr>
            </w:pPr>
          </w:p>
        </w:tc>
        <w:tc>
          <w:tcPr>
            <w:tcW w:w="2310" w:type="dxa"/>
            <w:shd w:val="clear" w:color="auto" w:fill="E5B8B7" w:themeFill="accent2" w:themeFillTint="66"/>
          </w:tcPr>
          <w:p w:rsidR="000E0CD9" w:rsidRDefault="000E0CD9" w:rsidP="0086010C">
            <w:pPr>
              <w:rPr>
                <w:rFonts w:ascii="Arial" w:hAnsi="Arial" w:cs="Arial"/>
                <w:sz w:val="24"/>
                <w:szCs w:val="24"/>
              </w:rPr>
            </w:pPr>
            <w:r>
              <w:rPr>
                <w:rFonts w:ascii="Arial" w:hAnsi="Arial" w:cs="Arial"/>
                <w:sz w:val="24"/>
                <w:szCs w:val="24"/>
              </w:rPr>
              <w:t>2007-2008</w:t>
            </w:r>
          </w:p>
        </w:tc>
        <w:tc>
          <w:tcPr>
            <w:tcW w:w="2311" w:type="dxa"/>
            <w:shd w:val="clear" w:color="auto" w:fill="E5B8B7" w:themeFill="accent2" w:themeFillTint="66"/>
          </w:tcPr>
          <w:p w:rsidR="000E0CD9" w:rsidRDefault="000E0CD9" w:rsidP="0086010C">
            <w:pPr>
              <w:rPr>
                <w:rFonts w:ascii="Arial" w:hAnsi="Arial" w:cs="Arial"/>
                <w:sz w:val="24"/>
                <w:szCs w:val="24"/>
              </w:rPr>
            </w:pPr>
            <w:r>
              <w:rPr>
                <w:rFonts w:ascii="Arial" w:hAnsi="Arial" w:cs="Arial"/>
                <w:sz w:val="24"/>
                <w:szCs w:val="24"/>
              </w:rPr>
              <w:t>2008-2009</w:t>
            </w:r>
          </w:p>
        </w:tc>
        <w:tc>
          <w:tcPr>
            <w:tcW w:w="2311" w:type="dxa"/>
            <w:shd w:val="clear" w:color="auto" w:fill="E5B8B7" w:themeFill="accent2" w:themeFillTint="66"/>
          </w:tcPr>
          <w:p w:rsidR="000E0CD9" w:rsidRDefault="000E0CD9" w:rsidP="0086010C">
            <w:pPr>
              <w:rPr>
                <w:rFonts w:ascii="Arial" w:hAnsi="Arial" w:cs="Arial"/>
                <w:sz w:val="24"/>
                <w:szCs w:val="24"/>
              </w:rPr>
            </w:pPr>
            <w:r>
              <w:rPr>
                <w:rFonts w:ascii="Arial" w:hAnsi="Arial" w:cs="Arial"/>
                <w:sz w:val="24"/>
                <w:szCs w:val="24"/>
              </w:rPr>
              <w:t>2009-2010</w:t>
            </w:r>
          </w:p>
        </w:tc>
      </w:tr>
      <w:tr w:rsidR="000E0CD9" w:rsidTr="000E0CD9">
        <w:tc>
          <w:tcPr>
            <w:tcW w:w="2310" w:type="dxa"/>
            <w:shd w:val="clear" w:color="auto" w:fill="E5B8B7" w:themeFill="accent2" w:themeFillTint="66"/>
          </w:tcPr>
          <w:p w:rsidR="000E0CD9" w:rsidRDefault="000E0CD9" w:rsidP="0086010C">
            <w:pPr>
              <w:rPr>
                <w:rFonts w:ascii="Arial" w:hAnsi="Arial" w:cs="Arial"/>
                <w:sz w:val="24"/>
                <w:szCs w:val="24"/>
              </w:rPr>
            </w:pPr>
            <w:r>
              <w:rPr>
                <w:rFonts w:ascii="Arial" w:hAnsi="Arial" w:cs="Arial"/>
                <w:sz w:val="24"/>
                <w:szCs w:val="24"/>
              </w:rPr>
              <w:t>Male enrolments as % of total</w:t>
            </w:r>
          </w:p>
        </w:tc>
        <w:tc>
          <w:tcPr>
            <w:tcW w:w="2310" w:type="dxa"/>
          </w:tcPr>
          <w:p w:rsidR="000E0CD9" w:rsidRDefault="000E0CD9" w:rsidP="0086010C">
            <w:pPr>
              <w:rPr>
                <w:rFonts w:ascii="Arial" w:hAnsi="Arial" w:cs="Arial"/>
                <w:sz w:val="24"/>
                <w:szCs w:val="24"/>
              </w:rPr>
            </w:pPr>
            <w:r>
              <w:rPr>
                <w:rFonts w:ascii="Arial" w:hAnsi="Arial" w:cs="Arial"/>
                <w:sz w:val="24"/>
                <w:szCs w:val="24"/>
              </w:rPr>
              <w:t>48.9</w:t>
            </w:r>
          </w:p>
        </w:tc>
        <w:tc>
          <w:tcPr>
            <w:tcW w:w="2311" w:type="dxa"/>
          </w:tcPr>
          <w:p w:rsidR="000E0CD9" w:rsidRDefault="000E0CD9" w:rsidP="0086010C">
            <w:pPr>
              <w:rPr>
                <w:rFonts w:ascii="Arial" w:hAnsi="Arial" w:cs="Arial"/>
                <w:sz w:val="24"/>
                <w:szCs w:val="24"/>
              </w:rPr>
            </w:pPr>
            <w:r>
              <w:rPr>
                <w:rFonts w:ascii="Arial" w:hAnsi="Arial" w:cs="Arial"/>
                <w:sz w:val="24"/>
                <w:szCs w:val="24"/>
              </w:rPr>
              <w:t>49.2</w:t>
            </w:r>
          </w:p>
        </w:tc>
        <w:tc>
          <w:tcPr>
            <w:tcW w:w="2311" w:type="dxa"/>
          </w:tcPr>
          <w:p w:rsidR="000E0CD9" w:rsidRDefault="000E0CD9" w:rsidP="0086010C">
            <w:pPr>
              <w:rPr>
                <w:rFonts w:ascii="Arial" w:hAnsi="Arial" w:cs="Arial"/>
                <w:sz w:val="24"/>
                <w:szCs w:val="24"/>
              </w:rPr>
            </w:pPr>
            <w:r>
              <w:rPr>
                <w:rFonts w:ascii="Arial" w:hAnsi="Arial" w:cs="Arial"/>
                <w:sz w:val="24"/>
                <w:szCs w:val="24"/>
              </w:rPr>
              <w:t>49.7</w:t>
            </w:r>
          </w:p>
        </w:tc>
      </w:tr>
      <w:tr w:rsidR="000E0CD9" w:rsidTr="000E0CD9">
        <w:tc>
          <w:tcPr>
            <w:tcW w:w="2310" w:type="dxa"/>
            <w:shd w:val="clear" w:color="auto" w:fill="E5B8B7" w:themeFill="accent2" w:themeFillTint="66"/>
          </w:tcPr>
          <w:p w:rsidR="000E0CD9" w:rsidRDefault="000E0CD9" w:rsidP="0086010C">
            <w:pPr>
              <w:rPr>
                <w:rFonts w:ascii="Arial" w:hAnsi="Arial" w:cs="Arial"/>
                <w:sz w:val="24"/>
                <w:szCs w:val="24"/>
              </w:rPr>
            </w:pPr>
            <w:r>
              <w:rPr>
                <w:rFonts w:ascii="Arial" w:hAnsi="Arial" w:cs="Arial"/>
                <w:sz w:val="24"/>
                <w:szCs w:val="24"/>
              </w:rPr>
              <w:t>Female enrolments as % of total</w:t>
            </w:r>
          </w:p>
        </w:tc>
        <w:tc>
          <w:tcPr>
            <w:tcW w:w="2310" w:type="dxa"/>
          </w:tcPr>
          <w:p w:rsidR="000E0CD9" w:rsidRDefault="000E0CD9" w:rsidP="0086010C">
            <w:pPr>
              <w:rPr>
                <w:rFonts w:ascii="Arial" w:hAnsi="Arial" w:cs="Arial"/>
                <w:sz w:val="24"/>
                <w:szCs w:val="24"/>
              </w:rPr>
            </w:pPr>
            <w:r>
              <w:rPr>
                <w:rFonts w:ascii="Arial" w:hAnsi="Arial" w:cs="Arial"/>
                <w:sz w:val="24"/>
                <w:szCs w:val="24"/>
              </w:rPr>
              <w:t>51.1</w:t>
            </w:r>
          </w:p>
        </w:tc>
        <w:tc>
          <w:tcPr>
            <w:tcW w:w="2311" w:type="dxa"/>
          </w:tcPr>
          <w:p w:rsidR="000E0CD9" w:rsidRDefault="000E0CD9" w:rsidP="0086010C">
            <w:pPr>
              <w:rPr>
                <w:rFonts w:ascii="Arial" w:hAnsi="Arial" w:cs="Arial"/>
                <w:sz w:val="24"/>
                <w:szCs w:val="24"/>
              </w:rPr>
            </w:pPr>
            <w:r>
              <w:rPr>
                <w:rFonts w:ascii="Arial" w:hAnsi="Arial" w:cs="Arial"/>
                <w:sz w:val="24"/>
                <w:szCs w:val="24"/>
              </w:rPr>
              <w:t>50.8</w:t>
            </w:r>
          </w:p>
        </w:tc>
        <w:tc>
          <w:tcPr>
            <w:tcW w:w="2311" w:type="dxa"/>
          </w:tcPr>
          <w:p w:rsidR="000E0CD9" w:rsidRDefault="000E0CD9" w:rsidP="0086010C">
            <w:pPr>
              <w:rPr>
                <w:rFonts w:ascii="Arial" w:hAnsi="Arial" w:cs="Arial"/>
                <w:sz w:val="24"/>
                <w:szCs w:val="24"/>
              </w:rPr>
            </w:pPr>
            <w:r>
              <w:rPr>
                <w:rFonts w:ascii="Arial" w:hAnsi="Arial" w:cs="Arial"/>
                <w:sz w:val="24"/>
                <w:szCs w:val="24"/>
              </w:rPr>
              <w:t>50.3</w:t>
            </w:r>
          </w:p>
        </w:tc>
      </w:tr>
    </w:tbl>
    <w:p w:rsidR="000E0CD9" w:rsidRDefault="000E0CD9" w:rsidP="0086010C">
      <w:pPr>
        <w:rPr>
          <w:rFonts w:ascii="Arial" w:hAnsi="Arial" w:cs="Arial"/>
          <w:sz w:val="24"/>
          <w:szCs w:val="24"/>
        </w:rPr>
      </w:pPr>
    </w:p>
    <w:p w:rsidR="000E0CD9" w:rsidRDefault="000E0CD9" w:rsidP="0086010C">
      <w:pPr>
        <w:rPr>
          <w:rFonts w:ascii="Arial" w:hAnsi="Arial" w:cs="Arial"/>
          <w:sz w:val="24"/>
          <w:szCs w:val="24"/>
        </w:rPr>
      </w:pPr>
      <w:r>
        <w:rPr>
          <w:rFonts w:ascii="Arial" w:hAnsi="Arial" w:cs="Arial"/>
          <w:sz w:val="24"/>
          <w:szCs w:val="24"/>
        </w:rPr>
        <w:t xml:space="preserve"> This observation appears to be </w:t>
      </w:r>
      <w:r w:rsidR="00325066">
        <w:rPr>
          <w:rFonts w:ascii="Arial" w:hAnsi="Arial" w:cs="Arial"/>
          <w:sz w:val="24"/>
          <w:szCs w:val="24"/>
        </w:rPr>
        <w:t xml:space="preserve">roughly </w:t>
      </w:r>
      <w:r>
        <w:rPr>
          <w:rFonts w:ascii="Arial" w:hAnsi="Arial" w:cs="Arial"/>
          <w:sz w:val="24"/>
          <w:szCs w:val="24"/>
        </w:rPr>
        <w:t>in line with demographics of the Neath Port Talbot area obtained from the Welsh Government.</w:t>
      </w:r>
    </w:p>
    <w:tbl>
      <w:tblPr>
        <w:tblStyle w:val="TableGrid"/>
        <w:tblW w:w="0" w:type="auto"/>
        <w:tblLook w:val="04A0"/>
      </w:tblPr>
      <w:tblGrid>
        <w:gridCol w:w="1848"/>
        <w:gridCol w:w="1848"/>
        <w:gridCol w:w="1848"/>
        <w:gridCol w:w="1849"/>
        <w:gridCol w:w="1849"/>
      </w:tblGrid>
      <w:tr w:rsidR="000E0CD9" w:rsidTr="000E0CD9">
        <w:tc>
          <w:tcPr>
            <w:tcW w:w="1848" w:type="dxa"/>
            <w:shd w:val="clear" w:color="auto" w:fill="E5B8B7" w:themeFill="accent2" w:themeFillTint="66"/>
          </w:tcPr>
          <w:p w:rsidR="000E0CD9" w:rsidRDefault="000E0CD9" w:rsidP="0086010C">
            <w:pPr>
              <w:rPr>
                <w:rFonts w:ascii="Arial" w:hAnsi="Arial" w:cs="Arial"/>
                <w:sz w:val="24"/>
                <w:szCs w:val="24"/>
              </w:rPr>
            </w:pPr>
            <w:r>
              <w:rPr>
                <w:rFonts w:ascii="Arial" w:hAnsi="Arial" w:cs="Arial"/>
                <w:sz w:val="24"/>
                <w:szCs w:val="24"/>
              </w:rPr>
              <w:t>Predicted Demographics</w:t>
            </w:r>
          </w:p>
        </w:tc>
        <w:tc>
          <w:tcPr>
            <w:tcW w:w="1848" w:type="dxa"/>
            <w:shd w:val="clear" w:color="auto" w:fill="E5B8B7" w:themeFill="accent2" w:themeFillTint="66"/>
          </w:tcPr>
          <w:p w:rsidR="000E0CD9" w:rsidRDefault="000E0CD9" w:rsidP="0086010C">
            <w:pPr>
              <w:rPr>
                <w:rFonts w:ascii="Arial" w:hAnsi="Arial" w:cs="Arial"/>
                <w:sz w:val="24"/>
                <w:szCs w:val="24"/>
              </w:rPr>
            </w:pPr>
            <w:r>
              <w:rPr>
                <w:rFonts w:ascii="Arial" w:hAnsi="Arial" w:cs="Arial"/>
                <w:sz w:val="24"/>
                <w:szCs w:val="24"/>
              </w:rPr>
              <w:t>2007</w:t>
            </w:r>
          </w:p>
        </w:tc>
        <w:tc>
          <w:tcPr>
            <w:tcW w:w="1848" w:type="dxa"/>
            <w:shd w:val="clear" w:color="auto" w:fill="E5B8B7" w:themeFill="accent2" w:themeFillTint="66"/>
          </w:tcPr>
          <w:p w:rsidR="000E0CD9" w:rsidRDefault="000E0CD9" w:rsidP="0086010C">
            <w:pPr>
              <w:rPr>
                <w:rFonts w:ascii="Arial" w:hAnsi="Arial" w:cs="Arial"/>
                <w:sz w:val="24"/>
                <w:szCs w:val="24"/>
              </w:rPr>
            </w:pPr>
            <w:r>
              <w:rPr>
                <w:rFonts w:ascii="Arial" w:hAnsi="Arial" w:cs="Arial"/>
                <w:sz w:val="24"/>
                <w:szCs w:val="24"/>
              </w:rPr>
              <w:t>2008</w:t>
            </w:r>
          </w:p>
        </w:tc>
        <w:tc>
          <w:tcPr>
            <w:tcW w:w="1849" w:type="dxa"/>
            <w:shd w:val="clear" w:color="auto" w:fill="E5B8B7" w:themeFill="accent2" w:themeFillTint="66"/>
          </w:tcPr>
          <w:p w:rsidR="000E0CD9" w:rsidRDefault="000E0CD9" w:rsidP="0086010C">
            <w:pPr>
              <w:rPr>
                <w:rFonts w:ascii="Arial" w:hAnsi="Arial" w:cs="Arial"/>
                <w:sz w:val="24"/>
                <w:szCs w:val="24"/>
              </w:rPr>
            </w:pPr>
            <w:r>
              <w:rPr>
                <w:rFonts w:ascii="Arial" w:hAnsi="Arial" w:cs="Arial"/>
                <w:sz w:val="24"/>
                <w:szCs w:val="24"/>
              </w:rPr>
              <w:t>2009</w:t>
            </w:r>
          </w:p>
        </w:tc>
        <w:tc>
          <w:tcPr>
            <w:tcW w:w="1849" w:type="dxa"/>
            <w:shd w:val="clear" w:color="auto" w:fill="E5B8B7" w:themeFill="accent2" w:themeFillTint="66"/>
          </w:tcPr>
          <w:p w:rsidR="000E0CD9" w:rsidRDefault="000E0CD9" w:rsidP="0086010C">
            <w:pPr>
              <w:rPr>
                <w:rFonts w:ascii="Arial" w:hAnsi="Arial" w:cs="Arial"/>
                <w:sz w:val="24"/>
                <w:szCs w:val="24"/>
              </w:rPr>
            </w:pPr>
            <w:r>
              <w:rPr>
                <w:rFonts w:ascii="Arial" w:hAnsi="Arial" w:cs="Arial"/>
                <w:sz w:val="24"/>
                <w:szCs w:val="24"/>
              </w:rPr>
              <w:t>2010</w:t>
            </w:r>
          </w:p>
        </w:tc>
      </w:tr>
      <w:tr w:rsidR="000E0CD9" w:rsidTr="000E0CD9">
        <w:tc>
          <w:tcPr>
            <w:tcW w:w="1848" w:type="dxa"/>
            <w:shd w:val="clear" w:color="auto" w:fill="E5B8B7" w:themeFill="accent2" w:themeFillTint="66"/>
          </w:tcPr>
          <w:p w:rsidR="000E0CD9" w:rsidRDefault="000E0CD9" w:rsidP="0086010C">
            <w:pPr>
              <w:rPr>
                <w:rFonts w:ascii="Arial" w:hAnsi="Arial" w:cs="Arial"/>
                <w:sz w:val="24"/>
                <w:szCs w:val="24"/>
              </w:rPr>
            </w:pPr>
            <w:r>
              <w:rPr>
                <w:rFonts w:ascii="Arial" w:hAnsi="Arial" w:cs="Arial"/>
                <w:sz w:val="24"/>
                <w:szCs w:val="24"/>
              </w:rPr>
              <w:t>% of males</w:t>
            </w:r>
          </w:p>
          <w:p w:rsidR="000E0CD9" w:rsidRDefault="000E0CD9" w:rsidP="0086010C">
            <w:pPr>
              <w:rPr>
                <w:rFonts w:ascii="Arial" w:hAnsi="Arial" w:cs="Arial"/>
                <w:sz w:val="24"/>
                <w:szCs w:val="24"/>
              </w:rPr>
            </w:pPr>
          </w:p>
        </w:tc>
        <w:tc>
          <w:tcPr>
            <w:tcW w:w="1848" w:type="dxa"/>
          </w:tcPr>
          <w:p w:rsidR="000E0CD9" w:rsidRDefault="000E0CD9" w:rsidP="0086010C">
            <w:pPr>
              <w:rPr>
                <w:rFonts w:ascii="Arial" w:hAnsi="Arial" w:cs="Arial"/>
                <w:sz w:val="24"/>
                <w:szCs w:val="24"/>
              </w:rPr>
            </w:pPr>
            <w:r>
              <w:rPr>
                <w:rFonts w:ascii="Arial" w:hAnsi="Arial" w:cs="Arial"/>
                <w:sz w:val="24"/>
                <w:szCs w:val="24"/>
              </w:rPr>
              <w:t>48.6</w:t>
            </w:r>
          </w:p>
        </w:tc>
        <w:tc>
          <w:tcPr>
            <w:tcW w:w="1848" w:type="dxa"/>
          </w:tcPr>
          <w:p w:rsidR="000E0CD9" w:rsidRDefault="000E0CD9" w:rsidP="0086010C">
            <w:pPr>
              <w:rPr>
                <w:rFonts w:ascii="Arial" w:hAnsi="Arial" w:cs="Arial"/>
                <w:sz w:val="24"/>
                <w:szCs w:val="24"/>
              </w:rPr>
            </w:pPr>
            <w:r>
              <w:rPr>
                <w:rFonts w:ascii="Arial" w:hAnsi="Arial" w:cs="Arial"/>
                <w:sz w:val="24"/>
                <w:szCs w:val="24"/>
              </w:rPr>
              <w:t>48.7</w:t>
            </w:r>
          </w:p>
        </w:tc>
        <w:tc>
          <w:tcPr>
            <w:tcW w:w="1849" w:type="dxa"/>
          </w:tcPr>
          <w:p w:rsidR="000E0CD9" w:rsidRDefault="000E0CD9" w:rsidP="0086010C">
            <w:pPr>
              <w:rPr>
                <w:rFonts w:ascii="Arial" w:hAnsi="Arial" w:cs="Arial"/>
                <w:sz w:val="24"/>
                <w:szCs w:val="24"/>
              </w:rPr>
            </w:pPr>
            <w:r>
              <w:rPr>
                <w:rFonts w:ascii="Arial" w:hAnsi="Arial" w:cs="Arial"/>
                <w:sz w:val="24"/>
                <w:szCs w:val="24"/>
              </w:rPr>
              <w:t>48.8</w:t>
            </w:r>
          </w:p>
        </w:tc>
        <w:tc>
          <w:tcPr>
            <w:tcW w:w="1849" w:type="dxa"/>
          </w:tcPr>
          <w:p w:rsidR="000E0CD9" w:rsidRDefault="000E0CD9" w:rsidP="0086010C">
            <w:pPr>
              <w:rPr>
                <w:rFonts w:ascii="Arial" w:hAnsi="Arial" w:cs="Arial"/>
                <w:sz w:val="24"/>
                <w:szCs w:val="24"/>
              </w:rPr>
            </w:pPr>
            <w:r>
              <w:rPr>
                <w:rFonts w:ascii="Arial" w:hAnsi="Arial" w:cs="Arial"/>
                <w:sz w:val="24"/>
                <w:szCs w:val="24"/>
              </w:rPr>
              <w:t>48.8</w:t>
            </w:r>
          </w:p>
        </w:tc>
      </w:tr>
      <w:tr w:rsidR="000E0CD9" w:rsidTr="000E0CD9">
        <w:tc>
          <w:tcPr>
            <w:tcW w:w="1848" w:type="dxa"/>
            <w:shd w:val="clear" w:color="auto" w:fill="E5B8B7" w:themeFill="accent2" w:themeFillTint="66"/>
          </w:tcPr>
          <w:p w:rsidR="000E0CD9" w:rsidRDefault="000E0CD9" w:rsidP="0086010C">
            <w:pPr>
              <w:rPr>
                <w:rFonts w:ascii="Arial" w:hAnsi="Arial" w:cs="Arial"/>
                <w:sz w:val="24"/>
                <w:szCs w:val="24"/>
              </w:rPr>
            </w:pPr>
            <w:r>
              <w:rPr>
                <w:rFonts w:ascii="Arial" w:hAnsi="Arial" w:cs="Arial"/>
                <w:sz w:val="24"/>
                <w:szCs w:val="24"/>
              </w:rPr>
              <w:t>% of females</w:t>
            </w:r>
          </w:p>
          <w:p w:rsidR="000E0CD9" w:rsidRDefault="000E0CD9" w:rsidP="0086010C">
            <w:pPr>
              <w:rPr>
                <w:rFonts w:ascii="Arial" w:hAnsi="Arial" w:cs="Arial"/>
                <w:sz w:val="24"/>
                <w:szCs w:val="24"/>
              </w:rPr>
            </w:pPr>
          </w:p>
        </w:tc>
        <w:tc>
          <w:tcPr>
            <w:tcW w:w="1848" w:type="dxa"/>
          </w:tcPr>
          <w:p w:rsidR="000E0CD9" w:rsidRDefault="000E0CD9" w:rsidP="0086010C">
            <w:pPr>
              <w:rPr>
                <w:rFonts w:ascii="Arial" w:hAnsi="Arial" w:cs="Arial"/>
                <w:sz w:val="24"/>
                <w:szCs w:val="24"/>
              </w:rPr>
            </w:pPr>
            <w:r>
              <w:rPr>
                <w:rFonts w:ascii="Arial" w:hAnsi="Arial" w:cs="Arial"/>
                <w:sz w:val="24"/>
                <w:szCs w:val="24"/>
              </w:rPr>
              <w:t>51.4</w:t>
            </w:r>
          </w:p>
        </w:tc>
        <w:tc>
          <w:tcPr>
            <w:tcW w:w="1848" w:type="dxa"/>
          </w:tcPr>
          <w:p w:rsidR="000E0CD9" w:rsidRDefault="000E0CD9" w:rsidP="0086010C">
            <w:pPr>
              <w:rPr>
                <w:rFonts w:ascii="Arial" w:hAnsi="Arial" w:cs="Arial"/>
                <w:sz w:val="24"/>
                <w:szCs w:val="24"/>
              </w:rPr>
            </w:pPr>
            <w:r>
              <w:rPr>
                <w:rFonts w:ascii="Arial" w:hAnsi="Arial" w:cs="Arial"/>
                <w:sz w:val="24"/>
                <w:szCs w:val="24"/>
              </w:rPr>
              <w:t>51.3</w:t>
            </w:r>
          </w:p>
        </w:tc>
        <w:tc>
          <w:tcPr>
            <w:tcW w:w="1849" w:type="dxa"/>
          </w:tcPr>
          <w:p w:rsidR="000E0CD9" w:rsidRDefault="000E0CD9" w:rsidP="0086010C">
            <w:pPr>
              <w:rPr>
                <w:rFonts w:ascii="Arial" w:hAnsi="Arial" w:cs="Arial"/>
                <w:sz w:val="24"/>
                <w:szCs w:val="24"/>
              </w:rPr>
            </w:pPr>
            <w:r>
              <w:rPr>
                <w:rFonts w:ascii="Arial" w:hAnsi="Arial" w:cs="Arial"/>
                <w:sz w:val="24"/>
                <w:szCs w:val="24"/>
              </w:rPr>
              <w:t>51.2</w:t>
            </w:r>
          </w:p>
        </w:tc>
        <w:tc>
          <w:tcPr>
            <w:tcW w:w="1849" w:type="dxa"/>
          </w:tcPr>
          <w:p w:rsidR="000E0CD9" w:rsidRDefault="000E0CD9" w:rsidP="0086010C">
            <w:pPr>
              <w:rPr>
                <w:rFonts w:ascii="Arial" w:hAnsi="Arial" w:cs="Arial"/>
                <w:sz w:val="24"/>
                <w:szCs w:val="24"/>
              </w:rPr>
            </w:pPr>
            <w:r>
              <w:rPr>
                <w:rFonts w:ascii="Arial" w:hAnsi="Arial" w:cs="Arial"/>
                <w:sz w:val="24"/>
                <w:szCs w:val="24"/>
              </w:rPr>
              <w:t>51.2</w:t>
            </w:r>
          </w:p>
        </w:tc>
      </w:tr>
    </w:tbl>
    <w:p w:rsidR="000E0CD9" w:rsidRDefault="000E0CD9" w:rsidP="0086010C">
      <w:pPr>
        <w:rPr>
          <w:rFonts w:ascii="Arial" w:hAnsi="Arial" w:cs="Arial"/>
          <w:sz w:val="24"/>
          <w:szCs w:val="24"/>
        </w:rPr>
      </w:pPr>
      <w:r>
        <w:rPr>
          <w:rFonts w:ascii="Arial" w:hAnsi="Arial" w:cs="Arial"/>
          <w:sz w:val="24"/>
          <w:szCs w:val="24"/>
        </w:rPr>
        <w:t xml:space="preserve">Source: </w:t>
      </w:r>
      <w:hyperlink r:id="rId18" w:history="1">
        <w:r w:rsidRPr="00501FCF">
          <w:rPr>
            <w:rStyle w:val="Hyperlink"/>
            <w:rFonts w:ascii="Arial" w:hAnsi="Arial" w:cs="Arial"/>
            <w:color w:val="auto"/>
            <w:sz w:val="24"/>
            <w:szCs w:val="24"/>
            <w:u w:val="none"/>
          </w:rPr>
          <w:t>www.statswales.gov.uk</w:t>
        </w:r>
      </w:hyperlink>
    </w:p>
    <w:p w:rsidR="000E0CD9" w:rsidRDefault="000E0CD9" w:rsidP="0086010C">
      <w:pPr>
        <w:rPr>
          <w:rFonts w:ascii="Arial" w:hAnsi="Arial" w:cs="Arial"/>
          <w:sz w:val="24"/>
          <w:szCs w:val="24"/>
        </w:rPr>
      </w:pPr>
    </w:p>
    <w:p w:rsidR="00614ECF" w:rsidRDefault="000E0CD9" w:rsidP="0086010C">
      <w:pPr>
        <w:rPr>
          <w:rFonts w:ascii="Arial" w:hAnsi="Arial" w:cs="Arial"/>
          <w:sz w:val="24"/>
          <w:szCs w:val="24"/>
        </w:rPr>
      </w:pPr>
      <w:r>
        <w:rPr>
          <w:rFonts w:ascii="Arial" w:hAnsi="Arial" w:cs="Arial"/>
          <w:sz w:val="24"/>
          <w:szCs w:val="24"/>
        </w:rPr>
        <w:t>The graph below shows the trend</w:t>
      </w:r>
      <w:r w:rsidR="00D463F6">
        <w:rPr>
          <w:rFonts w:ascii="Arial" w:hAnsi="Arial" w:cs="Arial"/>
          <w:sz w:val="24"/>
          <w:szCs w:val="24"/>
        </w:rPr>
        <w:t xml:space="preserve"> in retention for males and females:</w:t>
      </w:r>
    </w:p>
    <w:p w:rsidR="000E0CD9" w:rsidRDefault="00D463F6" w:rsidP="0086010C">
      <w:pPr>
        <w:rPr>
          <w:rFonts w:ascii="Arial" w:hAnsi="Arial" w:cs="Arial"/>
          <w:sz w:val="24"/>
          <w:szCs w:val="24"/>
        </w:rPr>
      </w:pPr>
      <w:r>
        <w:rPr>
          <w:rFonts w:ascii="Arial" w:hAnsi="Arial" w:cs="Arial"/>
          <w:sz w:val="24"/>
          <w:szCs w:val="24"/>
        </w:rPr>
        <w:t xml:space="preserve"> </w:t>
      </w:r>
    </w:p>
    <w:p w:rsidR="00D463F6" w:rsidRDefault="005F1977" w:rsidP="005F1977">
      <w:pPr>
        <w:jc w:val="center"/>
        <w:rPr>
          <w:rFonts w:ascii="Arial" w:hAnsi="Arial" w:cs="Arial"/>
          <w:sz w:val="24"/>
          <w:szCs w:val="24"/>
        </w:rPr>
      </w:pPr>
      <w:r w:rsidRPr="005F1977">
        <w:rPr>
          <w:rFonts w:ascii="Arial" w:hAnsi="Arial" w:cs="Arial"/>
          <w:noProof/>
          <w:sz w:val="24"/>
          <w:szCs w:val="24"/>
        </w:rPr>
        <w:drawing>
          <wp:inline distT="0" distB="0" distL="0" distR="0">
            <wp:extent cx="4572000" cy="2743200"/>
            <wp:effectExtent l="0" t="0" r="0"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F1977" w:rsidRDefault="005F1977" w:rsidP="005F1977">
      <w:pPr>
        <w:jc w:val="center"/>
        <w:rPr>
          <w:rFonts w:ascii="Arial" w:hAnsi="Arial" w:cs="Arial"/>
          <w:sz w:val="24"/>
          <w:szCs w:val="24"/>
        </w:rPr>
      </w:pPr>
    </w:p>
    <w:p w:rsidR="005F1977" w:rsidRDefault="005F1977" w:rsidP="005F1977">
      <w:pPr>
        <w:rPr>
          <w:rFonts w:ascii="Arial" w:hAnsi="Arial" w:cs="Arial"/>
          <w:sz w:val="24"/>
          <w:szCs w:val="24"/>
        </w:rPr>
      </w:pPr>
      <w:r>
        <w:rPr>
          <w:rFonts w:ascii="Arial" w:hAnsi="Arial" w:cs="Arial"/>
          <w:sz w:val="24"/>
          <w:szCs w:val="24"/>
        </w:rPr>
        <w:t xml:space="preserve">The graph indicates a marked decrease in retention of both males and females in 2009-2010 but it can be seen that male retention is just slightly higher than female retention. </w:t>
      </w:r>
    </w:p>
    <w:p w:rsidR="00614ECF" w:rsidRDefault="005F1977" w:rsidP="005F1977">
      <w:pPr>
        <w:rPr>
          <w:rFonts w:ascii="Arial" w:hAnsi="Arial" w:cs="Arial"/>
          <w:sz w:val="24"/>
          <w:szCs w:val="24"/>
        </w:rPr>
      </w:pPr>
      <w:r>
        <w:rPr>
          <w:rFonts w:ascii="Arial" w:hAnsi="Arial" w:cs="Arial"/>
          <w:sz w:val="24"/>
          <w:szCs w:val="24"/>
        </w:rPr>
        <w:t>The graph below shows th</w:t>
      </w:r>
      <w:r w:rsidR="009270D8">
        <w:rPr>
          <w:rFonts w:ascii="Arial" w:hAnsi="Arial" w:cs="Arial"/>
          <w:sz w:val="24"/>
          <w:szCs w:val="24"/>
        </w:rPr>
        <w:t>e trend</w:t>
      </w:r>
      <w:r>
        <w:rPr>
          <w:rFonts w:ascii="Arial" w:hAnsi="Arial" w:cs="Arial"/>
          <w:sz w:val="24"/>
          <w:szCs w:val="24"/>
        </w:rPr>
        <w:t xml:space="preserve"> in attainment of males and females:</w:t>
      </w:r>
    </w:p>
    <w:p w:rsidR="005F1977" w:rsidRDefault="005F1977" w:rsidP="005F1977">
      <w:pPr>
        <w:jc w:val="center"/>
        <w:rPr>
          <w:rFonts w:ascii="Arial" w:hAnsi="Arial" w:cs="Arial"/>
          <w:sz w:val="24"/>
          <w:szCs w:val="24"/>
        </w:rPr>
      </w:pPr>
      <w:r w:rsidRPr="005F1977">
        <w:rPr>
          <w:rFonts w:ascii="Arial" w:hAnsi="Arial" w:cs="Arial"/>
          <w:noProof/>
          <w:sz w:val="24"/>
          <w:szCs w:val="24"/>
        </w:rPr>
        <w:drawing>
          <wp:inline distT="0" distB="0" distL="0" distR="0">
            <wp:extent cx="4572000" cy="2743200"/>
            <wp:effectExtent l="0" t="0" r="0" b="0"/>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14ECF" w:rsidRDefault="00D7309B" w:rsidP="005F1977">
      <w:pPr>
        <w:rPr>
          <w:rFonts w:ascii="Arial" w:hAnsi="Arial" w:cs="Arial"/>
          <w:sz w:val="24"/>
          <w:szCs w:val="24"/>
        </w:rPr>
      </w:pPr>
      <w:r>
        <w:rPr>
          <w:rFonts w:ascii="Arial" w:hAnsi="Arial" w:cs="Arial"/>
          <w:sz w:val="24"/>
          <w:szCs w:val="24"/>
        </w:rPr>
        <w:t>The graph indicates an increase in attainment of both males and females with both genders having approximately equal attainment rates in 2009-10.</w:t>
      </w:r>
    </w:p>
    <w:p w:rsidR="005F1977" w:rsidRDefault="00D7309B" w:rsidP="005F1977">
      <w:pPr>
        <w:rPr>
          <w:rFonts w:ascii="Arial" w:hAnsi="Arial" w:cs="Arial"/>
          <w:sz w:val="24"/>
          <w:szCs w:val="24"/>
        </w:rPr>
      </w:pPr>
      <w:r>
        <w:rPr>
          <w:rFonts w:ascii="Arial" w:hAnsi="Arial" w:cs="Arial"/>
          <w:sz w:val="24"/>
          <w:szCs w:val="24"/>
        </w:rPr>
        <w:t xml:space="preserve"> </w:t>
      </w:r>
    </w:p>
    <w:p w:rsidR="00614ECF" w:rsidRDefault="009270D8" w:rsidP="005F1977">
      <w:pPr>
        <w:rPr>
          <w:rFonts w:ascii="Arial" w:hAnsi="Arial" w:cs="Arial"/>
          <w:sz w:val="24"/>
          <w:szCs w:val="24"/>
        </w:rPr>
      </w:pPr>
      <w:r>
        <w:rPr>
          <w:rFonts w:ascii="Arial" w:hAnsi="Arial" w:cs="Arial"/>
          <w:sz w:val="24"/>
          <w:szCs w:val="24"/>
        </w:rPr>
        <w:t>The graph below shows the trend</w:t>
      </w:r>
      <w:r w:rsidR="00D7309B">
        <w:rPr>
          <w:rFonts w:ascii="Arial" w:hAnsi="Arial" w:cs="Arial"/>
          <w:sz w:val="24"/>
          <w:szCs w:val="24"/>
        </w:rPr>
        <w:t xml:space="preserve"> in success of males and females:</w:t>
      </w:r>
    </w:p>
    <w:p w:rsidR="00D7309B" w:rsidRDefault="00D7309B" w:rsidP="00D7309B">
      <w:pPr>
        <w:jc w:val="center"/>
        <w:rPr>
          <w:rFonts w:ascii="Arial" w:hAnsi="Arial" w:cs="Arial"/>
          <w:sz w:val="24"/>
          <w:szCs w:val="24"/>
        </w:rPr>
      </w:pPr>
      <w:r w:rsidRPr="00D7309B">
        <w:rPr>
          <w:rFonts w:ascii="Arial" w:hAnsi="Arial" w:cs="Arial"/>
          <w:noProof/>
          <w:sz w:val="24"/>
          <w:szCs w:val="24"/>
        </w:rPr>
        <w:drawing>
          <wp:inline distT="0" distB="0" distL="0" distR="0">
            <wp:extent cx="4572000" cy="2743200"/>
            <wp:effectExtent l="0" t="0" r="0" b="0"/>
            <wp:docPr id="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309B" w:rsidRDefault="00D7309B" w:rsidP="00D7309B">
      <w:pPr>
        <w:jc w:val="center"/>
        <w:rPr>
          <w:rFonts w:ascii="Arial" w:hAnsi="Arial" w:cs="Arial"/>
          <w:sz w:val="24"/>
          <w:szCs w:val="24"/>
        </w:rPr>
      </w:pPr>
    </w:p>
    <w:p w:rsidR="00D7309B" w:rsidRDefault="00D7309B" w:rsidP="00D7309B">
      <w:pPr>
        <w:rPr>
          <w:rFonts w:ascii="Arial" w:hAnsi="Arial" w:cs="Arial"/>
          <w:sz w:val="24"/>
          <w:szCs w:val="24"/>
        </w:rPr>
      </w:pPr>
      <w:r>
        <w:rPr>
          <w:rFonts w:ascii="Arial" w:hAnsi="Arial" w:cs="Arial"/>
          <w:sz w:val="24"/>
          <w:szCs w:val="24"/>
        </w:rPr>
        <w:t>The graph indicates an increase in success rates of both males and females from 2007</w:t>
      </w:r>
      <w:r w:rsidR="005B06D4">
        <w:rPr>
          <w:rFonts w:ascii="Arial" w:hAnsi="Arial" w:cs="Arial"/>
          <w:sz w:val="24"/>
          <w:szCs w:val="24"/>
        </w:rPr>
        <w:t>-2008</w:t>
      </w:r>
      <w:r>
        <w:rPr>
          <w:rFonts w:ascii="Arial" w:hAnsi="Arial" w:cs="Arial"/>
          <w:sz w:val="24"/>
          <w:szCs w:val="24"/>
        </w:rPr>
        <w:t xml:space="preserve"> to 2008</w:t>
      </w:r>
      <w:r w:rsidR="005B06D4">
        <w:rPr>
          <w:rFonts w:ascii="Arial" w:hAnsi="Arial" w:cs="Arial"/>
          <w:sz w:val="24"/>
          <w:szCs w:val="24"/>
        </w:rPr>
        <w:t>-2009</w:t>
      </w:r>
      <w:r>
        <w:rPr>
          <w:rFonts w:ascii="Arial" w:hAnsi="Arial" w:cs="Arial"/>
          <w:sz w:val="24"/>
          <w:szCs w:val="24"/>
        </w:rPr>
        <w:t xml:space="preserve"> followed by a small decline in 2009</w:t>
      </w:r>
      <w:r w:rsidR="005B06D4">
        <w:rPr>
          <w:rFonts w:ascii="Arial" w:hAnsi="Arial" w:cs="Arial"/>
          <w:sz w:val="24"/>
          <w:szCs w:val="24"/>
        </w:rPr>
        <w:t>-2010</w:t>
      </w:r>
      <w:r>
        <w:rPr>
          <w:rFonts w:ascii="Arial" w:hAnsi="Arial" w:cs="Arial"/>
          <w:sz w:val="24"/>
          <w:szCs w:val="24"/>
        </w:rPr>
        <w:t>. In 2007</w:t>
      </w:r>
      <w:r w:rsidR="005B06D4">
        <w:rPr>
          <w:rFonts w:ascii="Arial" w:hAnsi="Arial" w:cs="Arial"/>
          <w:sz w:val="24"/>
          <w:szCs w:val="24"/>
        </w:rPr>
        <w:t>-2008</w:t>
      </w:r>
      <w:r w:rsidR="0059500D">
        <w:rPr>
          <w:rFonts w:ascii="Arial" w:hAnsi="Arial" w:cs="Arial"/>
          <w:sz w:val="24"/>
          <w:szCs w:val="24"/>
        </w:rPr>
        <w:t>,</w:t>
      </w:r>
      <w:r>
        <w:rPr>
          <w:rFonts w:ascii="Arial" w:hAnsi="Arial" w:cs="Arial"/>
          <w:sz w:val="24"/>
          <w:szCs w:val="24"/>
        </w:rPr>
        <w:t xml:space="preserve"> success of females exceeded that of males but since then the success rates appear to be in line. </w:t>
      </w:r>
    </w:p>
    <w:p w:rsidR="00A8156E" w:rsidRDefault="00A8156E" w:rsidP="00D7309B">
      <w:pPr>
        <w:rPr>
          <w:rFonts w:ascii="Arial" w:hAnsi="Arial" w:cs="Arial"/>
          <w:sz w:val="24"/>
          <w:szCs w:val="24"/>
        </w:rPr>
      </w:pPr>
    </w:p>
    <w:p w:rsidR="00D7309B" w:rsidRDefault="00D7309B" w:rsidP="00D7309B">
      <w:pPr>
        <w:rPr>
          <w:rFonts w:ascii="Arial" w:hAnsi="Arial" w:cs="Arial"/>
          <w:sz w:val="24"/>
          <w:szCs w:val="24"/>
        </w:rPr>
      </w:pPr>
      <w:r>
        <w:rPr>
          <w:rFonts w:ascii="Arial" w:hAnsi="Arial" w:cs="Arial"/>
          <w:sz w:val="24"/>
          <w:szCs w:val="24"/>
        </w:rPr>
        <w:t xml:space="preserve">On a </w:t>
      </w:r>
      <w:r w:rsidR="0059500D">
        <w:rPr>
          <w:rFonts w:ascii="Arial" w:hAnsi="Arial" w:cs="Arial"/>
          <w:sz w:val="24"/>
          <w:szCs w:val="24"/>
        </w:rPr>
        <w:t>C</w:t>
      </w:r>
      <w:r>
        <w:rPr>
          <w:rFonts w:ascii="Arial" w:hAnsi="Arial" w:cs="Arial"/>
          <w:sz w:val="24"/>
          <w:szCs w:val="24"/>
        </w:rPr>
        <w:t>ollege</w:t>
      </w:r>
      <w:r w:rsidR="0059500D">
        <w:rPr>
          <w:rFonts w:ascii="Arial" w:hAnsi="Arial" w:cs="Arial"/>
          <w:sz w:val="24"/>
          <w:szCs w:val="24"/>
        </w:rPr>
        <w:t>-</w:t>
      </w:r>
      <w:r>
        <w:rPr>
          <w:rFonts w:ascii="Arial" w:hAnsi="Arial" w:cs="Arial"/>
          <w:sz w:val="24"/>
          <w:szCs w:val="24"/>
        </w:rPr>
        <w:t>wide basis</w:t>
      </w:r>
      <w:r w:rsidR="0059500D">
        <w:rPr>
          <w:rFonts w:ascii="Arial" w:hAnsi="Arial" w:cs="Arial"/>
          <w:sz w:val="24"/>
          <w:szCs w:val="24"/>
        </w:rPr>
        <w:t>,</w:t>
      </w:r>
      <w:r>
        <w:rPr>
          <w:rFonts w:ascii="Arial" w:hAnsi="Arial" w:cs="Arial"/>
          <w:sz w:val="24"/>
          <w:szCs w:val="24"/>
        </w:rPr>
        <w:t xml:space="preserve"> there seems to be little difference between the success rates of males and females. However, the difference is more noticeable on a school level. In some schools</w:t>
      </w:r>
      <w:r w:rsidR="0059500D">
        <w:rPr>
          <w:rFonts w:ascii="Arial" w:hAnsi="Arial" w:cs="Arial"/>
          <w:sz w:val="24"/>
          <w:szCs w:val="24"/>
        </w:rPr>
        <w:t>,</w:t>
      </w:r>
      <w:r>
        <w:rPr>
          <w:rFonts w:ascii="Arial" w:hAnsi="Arial" w:cs="Arial"/>
          <w:sz w:val="24"/>
          <w:szCs w:val="24"/>
        </w:rPr>
        <w:t xml:space="preserve"> the margin between the success of males and females is negligible but in others the difference in the success rates between genders may be as much as 10%. </w:t>
      </w:r>
    </w:p>
    <w:p w:rsidR="00D7309B" w:rsidRDefault="00D7309B" w:rsidP="00D7309B">
      <w:pPr>
        <w:rPr>
          <w:rFonts w:ascii="Arial" w:hAnsi="Arial" w:cs="Arial"/>
          <w:sz w:val="24"/>
          <w:szCs w:val="24"/>
        </w:rPr>
      </w:pPr>
      <w:r>
        <w:rPr>
          <w:rFonts w:ascii="Arial" w:hAnsi="Arial" w:cs="Arial"/>
          <w:sz w:val="24"/>
          <w:szCs w:val="24"/>
        </w:rPr>
        <w:t>The followin</w:t>
      </w:r>
      <w:r w:rsidR="009270D8">
        <w:rPr>
          <w:rFonts w:ascii="Arial" w:hAnsi="Arial" w:cs="Arial"/>
          <w:sz w:val="24"/>
          <w:szCs w:val="24"/>
        </w:rPr>
        <w:t>g graphs show the success trend</w:t>
      </w:r>
      <w:r>
        <w:rPr>
          <w:rFonts w:ascii="Arial" w:hAnsi="Arial" w:cs="Arial"/>
          <w:sz w:val="24"/>
          <w:szCs w:val="24"/>
        </w:rPr>
        <w:t xml:space="preserve"> of males and females by school:</w:t>
      </w:r>
    </w:p>
    <w:p w:rsidR="00A8156E" w:rsidRDefault="00A8156E" w:rsidP="00D7309B">
      <w:pPr>
        <w:rPr>
          <w:rFonts w:ascii="Arial" w:hAnsi="Arial" w:cs="Arial"/>
          <w:sz w:val="24"/>
          <w:szCs w:val="24"/>
        </w:rPr>
      </w:pPr>
    </w:p>
    <w:p w:rsidR="000B43AE" w:rsidRPr="00EF0D63" w:rsidRDefault="000B43AE" w:rsidP="00D7309B">
      <w:pPr>
        <w:rPr>
          <w:rFonts w:ascii="Arial" w:hAnsi="Arial" w:cs="Arial"/>
          <w:b/>
          <w:sz w:val="24"/>
          <w:szCs w:val="24"/>
        </w:rPr>
      </w:pPr>
      <w:r w:rsidRPr="00EF0D63">
        <w:rPr>
          <w:rFonts w:ascii="Arial" w:hAnsi="Arial" w:cs="Arial"/>
          <w:b/>
          <w:sz w:val="24"/>
          <w:szCs w:val="24"/>
        </w:rPr>
        <w:t>ACE – Adult and Community Education</w:t>
      </w:r>
    </w:p>
    <w:p w:rsidR="00D7309B" w:rsidRDefault="00D7309B" w:rsidP="00EF0D63">
      <w:pPr>
        <w:jc w:val="center"/>
        <w:rPr>
          <w:rFonts w:ascii="Arial" w:hAnsi="Arial" w:cs="Arial"/>
          <w:sz w:val="24"/>
          <w:szCs w:val="24"/>
        </w:rPr>
      </w:pPr>
    </w:p>
    <w:p w:rsidR="00A8156E" w:rsidRDefault="008E75C2" w:rsidP="00EF0D63">
      <w:pPr>
        <w:jc w:val="center"/>
        <w:rPr>
          <w:rFonts w:ascii="Arial" w:hAnsi="Arial" w:cs="Arial"/>
          <w:sz w:val="24"/>
          <w:szCs w:val="24"/>
        </w:rPr>
      </w:pPr>
      <w:r w:rsidRPr="008E75C2">
        <w:rPr>
          <w:rFonts w:ascii="Arial" w:hAnsi="Arial" w:cs="Arial"/>
          <w:noProof/>
          <w:sz w:val="24"/>
          <w:szCs w:val="24"/>
        </w:rPr>
        <w:drawing>
          <wp:inline distT="0" distB="0" distL="0" distR="0">
            <wp:extent cx="4124325" cy="2085975"/>
            <wp:effectExtent l="0" t="0" r="0" b="0"/>
            <wp:docPr id="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8156E" w:rsidRDefault="00A8156E" w:rsidP="00EF0D63">
      <w:pPr>
        <w:jc w:val="center"/>
        <w:rPr>
          <w:rFonts w:ascii="Arial" w:hAnsi="Arial" w:cs="Arial"/>
          <w:sz w:val="24"/>
          <w:szCs w:val="24"/>
        </w:rPr>
      </w:pPr>
    </w:p>
    <w:p w:rsidR="00EF0D63" w:rsidRDefault="00EF0D63" w:rsidP="00EF0D63">
      <w:pPr>
        <w:rPr>
          <w:rFonts w:ascii="Arial" w:hAnsi="Arial" w:cs="Arial"/>
          <w:b/>
          <w:sz w:val="24"/>
          <w:szCs w:val="24"/>
        </w:rPr>
      </w:pPr>
      <w:r w:rsidRPr="00EF0D63">
        <w:rPr>
          <w:rFonts w:ascii="Arial" w:hAnsi="Arial" w:cs="Arial"/>
          <w:b/>
          <w:sz w:val="24"/>
          <w:szCs w:val="24"/>
        </w:rPr>
        <w:t>AE – Adult Education Franchise</w:t>
      </w:r>
    </w:p>
    <w:p w:rsidR="009270D8" w:rsidRPr="00EF0D63" w:rsidRDefault="009270D8" w:rsidP="00EF0D63">
      <w:pPr>
        <w:rPr>
          <w:rFonts w:ascii="Arial" w:hAnsi="Arial" w:cs="Arial"/>
          <w:b/>
          <w:sz w:val="24"/>
          <w:szCs w:val="24"/>
        </w:rPr>
      </w:pPr>
    </w:p>
    <w:p w:rsidR="00EF0D63" w:rsidRDefault="00EF0D63" w:rsidP="00EF0D63">
      <w:pPr>
        <w:jc w:val="center"/>
        <w:rPr>
          <w:rFonts w:ascii="Arial" w:hAnsi="Arial" w:cs="Arial"/>
          <w:sz w:val="24"/>
          <w:szCs w:val="24"/>
        </w:rPr>
      </w:pPr>
      <w:r w:rsidRPr="00EF0D63">
        <w:rPr>
          <w:rFonts w:ascii="Arial" w:hAnsi="Arial" w:cs="Arial"/>
          <w:noProof/>
          <w:sz w:val="24"/>
          <w:szCs w:val="24"/>
        </w:rPr>
        <w:drawing>
          <wp:inline distT="0" distB="0" distL="0" distR="0">
            <wp:extent cx="4029075" cy="2266950"/>
            <wp:effectExtent l="0" t="0" r="0" b="0"/>
            <wp:docPr id="1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F0D63" w:rsidRDefault="00EF0D63" w:rsidP="00EF0D63">
      <w:pPr>
        <w:jc w:val="center"/>
        <w:rPr>
          <w:rFonts w:ascii="Arial" w:hAnsi="Arial" w:cs="Arial"/>
          <w:sz w:val="24"/>
          <w:szCs w:val="24"/>
        </w:rPr>
      </w:pPr>
    </w:p>
    <w:p w:rsidR="007905D3" w:rsidRDefault="007905D3" w:rsidP="00EF0D63">
      <w:pPr>
        <w:jc w:val="center"/>
        <w:rPr>
          <w:rFonts w:ascii="Arial" w:hAnsi="Arial" w:cs="Arial"/>
          <w:sz w:val="24"/>
          <w:szCs w:val="24"/>
        </w:rPr>
      </w:pPr>
    </w:p>
    <w:p w:rsidR="00A8156E" w:rsidRDefault="00A8156E" w:rsidP="00A8156E">
      <w:pPr>
        <w:rPr>
          <w:rFonts w:ascii="Arial" w:hAnsi="Arial" w:cs="Arial"/>
          <w:b/>
          <w:sz w:val="24"/>
          <w:szCs w:val="24"/>
        </w:rPr>
      </w:pPr>
      <w:r w:rsidRPr="00A8156E">
        <w:rPr>
          <w:rFonts w:ascii="Arial" w:hAnsi="Arial" w:cs="Arial"/>
          <w:b/>
          <w:sz w:val="24"/>
          <w:szCs w:val="24"/>
        </w:rPr>
        <w:t>BTH – School of Business, Tourism and Hospitality</w:t>
      </w:r>
    </w:p>
    <w:p w:rsidR="009270D8" w:rsidRDefault="009270D8" w:rsidP="00A8156E">
      <w:pPr>
        <w:rPr>
          <w:rFonts w:ascii="Arial" w:hAnsi="Arial" w:cs="Arial"/>
          <w:b/>
          <w:sz w:val="24"/>
          <w:szCs w:val="24"/>
        </w:rPr>
      </w:pPr>
    </w:p>
    <w:p w:rsidR="00A8156E" w:rsidRDefault="00A8156E" w:rsidP="00A8156E">
      <w:pPr>
        <w:jc w:val="center"/>
        <w:rPr>
          <w:rFonts w:ascii="Arial" w:hAnsi="Arial" w:cs="Arial"/>
          <w:b/>
          <w:sz w:val="24"/>
          <w:szCs w:val="24"/>
        </w:rPr>
      </w:pPr>
      <w:r w:rsidRPr="00A8156E">
        <w:rPr>
          <w:rFonts w:ascii="Arial" w:hAnsi="Arial" w:cs="Arial"/>
          <w:b/>
          <w:noProof/>
          <w:sz w:val="24"/>
          <w:szCs w:val="24"/>
        </w:rPr>
        <w:drawing>
          <wp:inline distT="0" distB="0" distL="0" distR="0">
            <wp:extent cx="4572000" cy="2743200"/>
            <wp:effectExtent l="0" t="0" r="0" b="0"/>
            <wp:docPr id="2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8156E" w:rsidRPr="00A8156E" w:rsidRDefault="00A8156E" w:rsidP="00A8156E">
      <w:pPr>
        <w:rPr>
          <w:rFonts w:ascii="Arial" w:hAnsi="Arial" w:cs="Arial"/>
          <w:b/>
          <w:sz w:val="24"/>
          <w:szCs w:val="24"/>
        </w:rPr>
      </w:pPr>
    </w:p>
    <w:p w:rsidR="00EF0D63" w:rsidRDefault="00EF0D63" w:rsidP="00EF0D63">
      <w:pPr>
        <w:rPr>
          <w:rFonts w:ascii="Arial" w:hAnsi="Arial" w:cs="Arial"/>
          <w:b/>
          <w:sz w:val="24"/>
          <w:szCs w:val="24"/>
        </w:rPr>
      </w:pPr>
      <w:r w:rsidRPr="00EF0D63">
        <w:rPr>
          <w:rFonts w:ascii="Arial" w:hAnsi="Arial" w:cs="Arial"/>
          <w:b/>
          <w:sz w:val="24"/>
          <w:szCs w:val="24"/>
        </w:rPr>
        <w:t>CBE – School of Construction and the Built Environment</w:t>
      </w:r>
    </w:p>
    <w:p w:rsidR="009270D8" w:rsidRDefault="009270D8" w:rsidP="00EF0D63">
      <w:pPr>
        <w:rPr>
          <w:rFonts w:ascii="Arial" w:hAnsi="Arial" w:cs="Arial"/>
          <w:b/>
          <w:sz w:val="24"/>
          <w:szCs w:val="24"/>
        </w:rPr>
      </w:pPr>
    </w:p>
    <w:p w:rsidR="00EF0D63" w:rsidRDefault="00EF0D63" w:rsidP="007905D3">
      <w:pPr>
        <w:jc w:val="center"/>
        <w:rPr>
          <w:rFonts w:ascii="Arial" w:hAnsi="Arial" w:cs="Arial"/>
          <w:b/>
          <w:sz w:val="24"/>
          <w:szCs w:val="24"/>
        </w:rPr>
      </w:pPr>
      <w:r w:rsidRPr="00EF0D63">
        <w:rPr>
          <w:rFonts w:ascii="Arial" w:hAnsi="Arial" w:cs="Arial"/>
          <w:b/>
          <w:noProof/>
          <w:sz w:val="24"/>
          <w:szCs w:val="24"/>
        </w:rPr>
        <w:drawing>
          <wp:inline distT="0" distB="0" distL="0" distR="0">
            <wp:extent cx="4572000" cy="2743200"/>
            <wp:effectExtent l="0" t="0" r="0" b="0"/>
            <wp:docPr id="1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8156E" w:rsidRDefault="00A8156E" w:rsidP="007905D3">
      <w:pPr>
        <w:jc w:val="center"/>
        <w:rPr>
          <w:rFonts w:ascii="Arial" w:hAnsi="Arial" w:cs="Arial"/>
          <w:b/>
          <w:sz w:val="24"/>
          <w:szCs w:val="24"/>
        </w:rPr>
      </w:pPr>
    </w:p>
    <w:p w:rsidR="00A8156E" w:rsidRDefault="00A8156E" w:rsidP="00A8156E">
      <w:pPr>
        <w:rPr>
          <w:rFonts w:ascii="Arial" w:hAnsi="Arial" w:cs="Arial"/>
          <w:b/>
          <w:sz w:val="24"/>
          <w:szCs w:val="24"/>
        </w:rPr>
      </w:pPr>
    </w:p>
    <w:p w:rsidR="00A8156E" w:rsidRDefault="00A8156E" w:rsidP="00A8156E">
      <w:pPr>
        <w:rPr>
          <w:rFonts w:ascii="Arial" w:hAnsi="Arial" w:cs="Arial"/>
          <w:b/>
          <w:sz w:val="24"/>
          <w:szCs w:val="24"/>
        </w:rPr>
      </w:pPr>
    </w:p>
    <w:p w:rsidR="009270D8" w:rsidRDefault="009270D8" w:rsidP="00A8156E">
      <w:pPr>
        <w:rPr>
          <w:rFonts w:ascii="Arial" w:hAnsi="Arial" w:cs="Arial"/>
          <w:b/>
          <w:sz w:val="24"/>
          <w:szCs w:val="24"/>
        </w:rPr>
      </w:pPr>
    </w:p>
    <w:p w:rsidR="00A8156E" w:rsidRDefault="00A8156E" w:rsidP="00A8156E">
      <w:pPr>
        <w:rPr>
          <w:rFonts w:ascii="Arial" w:hAnsi="Arial" w:cs="Arial"/>
          <w:b/>
          <w:sz w:val="24"/>
          <w:szCs w:val="24"/>
        </w:rPr>
      </w:pPr>
      <w:r>
        <w:rPr>
          <w:rFonts w:ascii="Arial" w:hAnsi="Arial" w:cs="Arial"/>
          <w:b/>
          <w:sz w:val="24"/>
          <w:szCs w:val="24"/>
        </w:rPr>
        <w:t>CIT – School of Computing and Information Technology</w:t>
      </w:r>
    </w:p>
    <w:p w:rsidR="00A8156E" w:rsidRDefault="00A8156E" w:rsidP="00A8156E">
      <w:pPr>
        <w:rPr>
          <w:rFonts w:ascii="Arial" w:hAnsi="Arial" w:cs="Arial"/>
          <w:b/>
          <w:sz w:val="24"/>
          <w:szCs w:val="24"/>
        </w:rPr>
      </w:pPr>
    </w:p>
    <w:p w:rsidR="00A8156E" w:rsidRDefault="00DC4491" w:rsidP="00DC4491">
      <w:pPr>
        <w:jc w:val="center"/>
        <w:rPr>
          <w:rFonts w:ascii="Arial" w:hAnsi="Arial" w:cs="Arial"/>
          <w:b/>
          <w:sz w:val="24"/>
          <w:szCs w:val="24"/>
        </w:rPr>
      </w:pPr>
      <w:r w:rsidRPr="00DC4491">
        <w:rPr>
          <w:rFonts w:ascii="Arial" w:hAnsi="Arial" w:cs="Arial"/>
          <w:b/>
          <w:noProof/>
          <w:sz w:val="24"/>
          <w:szCs w:val="24"/>
        </w:rPr>
        <w:drawing>
          <wp:inline distT="0" distB="0" distL="0" distR="0">
            <wp:extent cx="4572000" cy="2743200"/>
            <wp:effectExtent l="0" t="0" r="0" b="0"/>
            <wp:docPr id="2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C4491" w:rsidRDefault="00DC4491" w:rsidP="00DC4491">
      <w:pPr>
        <w:jc w:val="center"/>
        <w:rPr>
          <w:rFonts w:ascii="Arial" w:hAnsi="Arial" w:cs="Arial"/>
          <w:b/>
          <w:sz w:val="24"/>
          <w:szCs w:val="24"/>
        </w:rPr>
      </w:pPr>
    </w:p>
    <w:p w:rsidR="00DC4491" w:rsidRDefault="00DC4491" w:rsidP="00DC4491">
      <w:pPr>
        <w:rPr>
          <w:rFonts w:ascii="Arial" w:hAnsi="Arial" w:cs="Arial"/>
          <w:b/>
          <w:sz w:val="24"/>
          <w:szCs w:val="24"/>
        </w:rPr>
      </w:pPr>
      <w:r>
        <w:rPr>
          <w:rFonts w:ascii="Arial" w:hAnsi="Arial" w:cs="Arial"/>
          <w:b/>
          <w:sz w:val="24"/>
          <w:szCs w:val="24"/>
        </w:rPr>
        <w:t>CVP – School of Creative, Visual and Performing Arts</w:t>
      </w:r>
    </w:p>
    <w:p w:rsidR="00DC4491" w:rsidRDefault="00DC4491" w:rsidP="00DC4491">
      <w:pPr>
        <w:rPr>
          <w:rFonts w:ascii="Arial" w:hAnsi="Arial" w:cs="Arial"/>
          <w:b/>
          <w:sz w:val="24"/>
          <w:szCs w:val="24"/>
        </w:rPr>
      </w:pPr>
    </w:p>
    <w:p w:rsidR="00DC4491" w:rsidRDefault="00DC4491" w:rsidP="00DC4491">
      <w:pPr>
        <w:jc w:val="center"/>
        <w:rPr>
          <w:rFonts w:ascii="Arial" w:hAnsi="Arial" w:cs="Arial"/>
          <w:b/>
          <w:sz w:val="24"/>
          <w:szCs w:val="24"/>
        </w:rPr>
      </w:pPr>
      <w:r w:rsidRPr="00DC4491">
        <w:rPr>
          <w:rFonts w:ascii="Arial" w:hAnsi="Arial" w:cs="Arial"/>
          <w:b/>
          <w:noProof/>
          <w:sz w:val="24"/>
          <w:szCs w:val="24"/>
        </w:rPr>
        <w:drawing>
          <wp:inline distT="0" distB="0" distL="0" distR="0">
            <wp:extent cx="4572000" cy="2743200"/>
            <wp:effectExtent l="0" t="0" r="0" b="0"/>
            <wp:docPr id="2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C4491" w:rsidRDefault="00DC4491" w:rsidP="00DC4491">
      <w:pPr>
        <w:rPr>
          <w:rFonts w:ascii="Arial" w:hAnsi="Arial" w:cs="Arial"/>
          <w:b/>
          <w:sz w:val="24"/>
          <w:szCs w:val="24"/>
        </w:rPr>
      </w:pPr>
    </w:p>
    <w:p w:rsidR="00DC4491" w:rsidRDefault="00DC4491" w:rsidP="00DC4491">
      <w:pPr>
        <w:rPr>
          <w:rFonts w:ascii="Arial" w:hAnsi="Arial" w:cs="Arial"/>
          <w:b/>
          <w:sz w:val="24"/>
          <w:szCs w:val="24"/>
        </w:rPr>
      </w:pPr>
    </w:p>
    <w:p w:rsidR="00DC4491" w:rsidRDefault="00DC4491" w:rsidP="00DC4491">
      <w:pPr>
        <w:rPr>
          <w:rFonts w:ascii="Arial" w:hAnsi="Arial" w:cs="Arial"/>
          <w:b/>
          <w:sz w:val="24"/>
          <w:szCs w:val="24"/>
        </w:rPr>
      </w:pPr>
    </w:p>
    <w:p w:rsidR="00DC4491" w:rsidRDefault="00DC4491" w:rsidP="00DC4491">
      <w:pPr>
        <w:rPr>
          <w:rFonts w:ascii="Arial" w:hAnsi="Arial" w:cs="Arial"/>
          <w:b/>
          <w:sz w:val="24"/>
          <w:szCs w:val="24"/>
        </w:rPr>
      </w:pPr>
    </w:p>
    <w:p w:rsidR="00DC4491" w:rsidRDefault="00DC4491" w:rsidP="00DC4491">
      <w:pPr>
        <w:rPr>
          <w:rFonts w:ascii="Arial" w:hAnsi="Arial" w:cs="Arial"/>
          <w:b/>
          <w:sz w:val="24"/>
          <w:szCs w:val="24"/>
        </w:rPr>
      </w:pPr>
      <w:r>
        <w:rPr>
          <w:rFonts w:ascii="Arial" w:hAnsi="Arial" w:cs="Arial"/>
          <w:b/>
          <w:sz w:val="24"/>
          <w:szCs w:val="24"/>
        </w:rPr>
        <w:t>ENG – School of Engineering</w:t>
      </w:r>
    </w:p>
    <w:p w:rsidR="00DC4491" w:rsidRDefault="00DC4491" w:rsidP="00DC4491">
      <w:pPr>
        <w:rPr>
          <w:rFonts w:ascii="Arial" w:hAnsi="Arial" w:cs="Arial"/>
          <w:b/>
          <w:sz w:val="24"/>
          <w:szCs w:val="24"/>
        </w:rPr>
      </w:pPr>
    </w:p>
    <w:p w:rsidR="00DC4491" w:rsidRDefault="00DC4491" w:rsidP="00DC4491">
      <w:pPr>
        <w:jc w:val="center"/>
        <w:rPr>
          <w:rFonts w:ascii="Arial" w:hAnsi="Arial" w:cs="Arial"/>
          <w:b/>
          <w:sz w:val="24"/>
          <w:szCs w:val="24"/>
        </w:rPr>
      </w:pPr>
      <w:r w:rsidRPr="00DC4491">
        <w:rPr>
          <w:rFonts w:ascii="Arial" w:hAnsi="Arial" w:cs="Arial"/>
          <w:b/>
          <w:noProof/>
          <w:sz w:val="24"/>
          <w:szCs w:val="24"/>
        </w:rPr>
        <w:drawing>
          <wp:inline distT="0" distB="0" distL="0" distR="0">
            <wp:extent cx="4572000" cy="2743200"/>
            <wp:effectExtent l="0" t="0" r="0" b="0"/>
            <wp:docPr id="2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C4491" w:rsidRDefault="00DC4491" w:rsidP="00DC4491">
      <w:pPr>
        <w:jc w:val="center"/>
        <w:rPr>
          <w:rFonts w:ascii="Arial" w:hAnsi="Arial" w:cs="Arial"/>
          <w:b/>
          <w:sz w:val="24"/>
          <w:szCs w:val="24"/>
        </w:rPr>
      </w:pPr>
    </w:p>
    <w:p w:rsidR="00DC4491" w:rsidRDefault="00DC4491" w:rsidP="00DC4491">
      <w:pPr>
        <w:rPr>
          <w:rFonts w:ascii="Arial" w:hAnsi="Arial" w:cs="Arial"/>
          <w:b/>
          <w:sz w:val="24"/>
          <w:szCs w:val="24"/>
        </w:rPr>
      </w:pPr>
      <w:r>
        <w:rPr>
          <w:rFonts w:ascii="Arial" w:hAnsi="Arial" w:cs="Arial"/>
          <w:b/>
          <w:sz w:val="24"/>
          <w:szCs w:val="24"/>
        </w:rPr>
        <w:t>Fac6Form – Faculty of Sixth Form</w:t>
      </w:r>
    </w:p>
    <w:p w:rsidR="00DC4491" w:rsidRDefault="00DC4491" w:rsidP="00DC4491">
      <w:pPr>
        <w:rPr>
          <w:rFonts w:ascii="Arial" w:hAnsi="Arial" w:cs="Arial"/>
          <w:b/>
          <w:sz w:val="24"/>
          <w:szCs w:val="24"/>
        </w:rPr>
      </w:pPr>
    </w:p>
    <w:p w:rsidR="00DC4491" w:rsidRDefault="00DC4491" w:rsidP="00DC4491">
      <w:pPr>
        <w:jc w:val="center"/>
        <w:rPr>
          <w:rFonts w:ascii="Arial" w:hAnsi="Arial" w:cs="Arial"/>
          <w:b/>
          <w:sz w:val="24"/>
          <w:szCs w:val="24"/>
        </w:rPr>
      </w:pPr>
      <w:r w:rsidRPr="00DC4491">
        <w:rPr>
          <w:rFonts w:ascii="Arial" w:hAnsi="Arial" w:cs="Arial"/>
          <w:b/>
          <w:noProof/>
          <w:sz w:val="24"/>
          <w:szCs w:val="24"/>
        </w:rPr>
        <w:drawing>
          <wp:inline distT="0" distB="0" distL="0" distR="0">
            <wp:extent cx="4572000" cy="2743200"/>
            <wp:effectExtent l="0" t="0" r="0" b="0"/>
            <wp:docPr id="2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C4491" w:rsidRDefault="00DC4491" w:rsidP="00DC4491">
      <w:pPr>
        <w:jc w:val="center"/>
        <w:rPr>
          <w:rFonts w:ascii="Arial" w:hAnsi="Arial" w:cs="Arial"/>
          <w:b/>
          <w:sz w:val="24"/>
          <w:szCs w:val="24"/>
        </w:rPr>
      </w:pPr>
    </w:p>
    <w:p w:rsidR="00DC4491" w:rsidRDefault="00DC4491" w:rsidP="00DC4491">
      <w:pPr>
        <w:jc w:val="center"/>
        <w:rPr>
          <w:rFonts w:ascii="Arial" w:hAnsi="Arial" w:cs="Arial"/>
          <w:b/>
          <w:sz w:val="24"/>
          <w:szCs w:val="24"/>
        </w:rPr>
      </w:pPr>
    </w:p>
    <w:p w:rsidR="00DC4491" w:rsidRDefault="00DC4491" w:rsidP="00DC4491">
      <w:pPr>
        <w:jc w:val="center"/>
        <w:rPr>
          <w:rFonts w:ascii="Arial" w:hAnsi="Arial" w:cs="Arial"/>
          <w:b/>
          <w:sz w:val="24"/>
          <w:szCs w:val="24"/>
        </w:rPr>
      </w:pPr>
    </w:p>
    <w:p w:rsidR="009270D8" w:rsidRDefault="009270D8" w:rsidP="00DC4491">
      <w:pPr>
        <w:rPr>
          <w:rFonts w:ascii="Arial" w:hAnsi="Arial" w:cs="Arial"/>
          <w:b/>
          <w:sz w:val="24"/>
          <w:szCs w:val="24"/>
        </w:rPr>
      </w:pPr>
    </w:p>
    <w:p w:rsidR="00DC4491" w:rsidRDefault="00DC4491" w:rsidP="00DC4491">
      <w:pPr>
        <w:rPr>
          <w:rFonts w:ascii="Arial" w:hAnsi="Arial" w:cs="Arial"/>
          <w:b/>
          <w:sz w:val="24"/>
          <w:szCs w:val="24"/>
        </w:rPr>
      </w:pPr>
      <w:r>
        <w:rPr>
          <w:rFonts w:ascii="Arial" w:hAnsi="Arial" w:cs="Arial"/>
          <w:b/>
          <w:sz w:val="24"/>
          <w:szCs w:val="24"/>
        </w:rPr>
        <w:t>HAT – School of Horticulture, Hairdressing and Applied Therapies</w:t>
      </w:r>
    </w:p>
    <w:p w:rsidR="009270D8" w:rsidRDefault="009270D8" w:rsidP="00DC4491">
      <w:pPr>
        <w:rPr>
          <w:rFonts w:ascii="Arial" w:hAnsi="Arial" w:cs="Arial"/>
          <w:b/>
          <w:sz w:val="24"/>
          <w:szCs w:val="24"/>
        </w:rPr>
      </w:pPr>
    </w:p>
    <w:p w:rsidR="00DC4491" w:rsidRDefault="00DC4491" w:rsidP="00DC4491">
      <w:pPr>
        <w:jc w:val="center"/>
        <w:rPr>
          <w:rFonts w:ascii="Arial" w:hAnsi="Arial" w:cs="Arial"/>
          <w:b/>
          <w:sz w:val="24"/>
          <w:szCs w:val="24"/>
        </w:rPr>
      </w:pPr>
      <w:r w:rsidRPr="00DC4491">
        <w:rPr>
          <w:rFonts w:ascii="Arial" w:hAnsi="Arial" w:cs="Arial"/>
          <w:b/>
          <w:noProof/>
          <w:sz w:val="24"/>
          <w:szCs w:val="24"/>
        </w:rPr>
        <w:drawing>
          <wp:inline distT="0" distB="0" distL="0" distR="0">
            <wp:extent cx="4572000" cy="2743200"/>
            <wp:effectExtent l="0" t="0" r="0" b="0"/>
            <wp:docPr id="2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669FA" w:rsidRDefault="002669FA" w:rsidP="00DC4491">
      <w:pPr>
        <w:jc w:val="center"/>
        <w:rPr>
          <w:rFonts w:ascii="Arial" w:hAnsi="Arial" w:cs="Arial"/>
          <w:b/>
          <w:sz w:val="24"/>
          <w:szCs w:val="24"/>
        </w:rPr>
      </w:pPr>
    </w:p>
    <w:p w:rsidR="00DC4491" w:rsidRDefault="002669FA" w:rsidP="00DC4491">
      <w:pPr>
        <w:rPr>
          <w:rFonts w:ascii="Arial" w:hAnsi="Arial" w:cs="Arial"/>
          <w:b/>
          <w:sz w:val="24"/>
          <w:szCs w:val="24"/>
        </w:rPr>
      </w:pPr>
      <w:r>
        <w:rPr>
          <w:rFonts w:ascii="Arial" w:hAnsi="Arial" w:cs="Arial"/>
          <w:b/>
          <w:sz w:val="24"/>
          <w:szCs w:val="24"/>
        </w:rPr>
        <w:t>HSC – School of Health, Social and Childcare</w:t>
      </w:r>
    </w:p>
    <w:p w:rsidR="009270D8" w:rsidRDefault="009270D8" w:rsidP="00DC4491">
      <w:pPr>
        <w:rPr>
          <w:rFonts w:ascii="Arial" w:hAnsi="Arial" w:cs="Arial"/>
          <w:b/>
          <w:sz w:val="24"/>
          <w:szCs w:val="24"/>
        </w:rPr>
      </w:pPr>
    </w:p>
    <w:p w:rsidR="002669FA" w:rsidRDefault="002669FA" w:rsidP="002669FA">
      <w:pPr>
        <w:jc w:val="center"/>
        <w:rPr>
          <w:rFonts w:ascii="Arial" w:hAnsi="Arial" w:cs="Arial"/>
          <w:b/>
          <w:sz w:val="24"/>
          <w:szCs w:val="24"/>
        </w:rPr>
      </w:pPr>
      <w:r w:rsidRPr="002669FA">
        <w:rPr>
          <w:rFonts w:ascii="Arial" w:hAnsi="Arial" w:cs="Arial"/>
          <w:b/>
          <w:noProof/>
          <w:sz w:val="24"/>
          <w:szCs w:val="24"/>
        </w:rPr>
        <w:drawing>
          <wp:inline distT="0" distB="0" distL="0" distR="0">
            <wp:extent cx="4572000" cy="2743200"/>
            <wp:effectExtent l="0" t="0" r="0" b="0"/>
            <wp:docPr id="30"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669FA" w:rsidRDefault="002669FA" w:rsidP="00DC4491">
      <w:pPr>
        <w:rPr>
          <w:rFonts w:ascii="Arial" w:hAnsi="Arial" w:cs="Arial"/>
          <w:b/>
          <w:sz w:val="24"/>
          <w:szCs w:val="24"/>
        </w:rPr>
      </w:pPr>
    </w:p>
    <w:p w:rsidR="00DC4491" w:rsidRDefault="00DC4491" w:rsidP="00DC4491">
      <w:pPr>
        <w:rPr>
          <w:rFonts w:ascii="Arial" w:hAnsi="Arial" w:cs="Arial"/>
          <w:b/>
          <w:sz w:val="24"/>
          <w:szCs w:val="24"/>
        </w:rPr>
      </w:pPr>
    </w:p>
    <w:p w:rsidR="002669FA" w:rsidRDefault="002669FA" w:rsidP="00DC4491">
      <w:pPr>
        <w:rPr>
          <w:rFonts w:ascii="Arial" w:hAnsi="Arial" w:cs="Arial"/>
          <w:b/>
          <w:sz w:val="24"/>
          <w:szCs w:val="24"/>
        </w:rPr>
      </w:pPr>
    </w:p>
    <w:p w:rsidR="002669FA" w:rsidRDefault="002669FA" w:rsidP="00DC4491">
      <w:pPr>
        <w:rPr>
          <w:rFonts w:ascii="Arial" w:hAnsi="Arial" w:cs="Arial"/>
          <w:b/>
          <w:sz w:val="24"/>
          <w:szCs w:val="24"/>
        </w:rPr>
      </w:pPr>
    </w:p>
    <w:p w:rsidR="002669FA" w:rsidRDefault="002669FA" w:rsidP="00DC4491">
      <w:pPr>
        <w:rPr>
          <w:rFonts w:ascii="Arial" w:hAnsi="Arial" w:cs="Arial"/>
          <w:b/>
          <w:sz w:val="24"/>
          <w:szCs w:val="24"/>
        </w:rPr>
      </w:pPr>
      <w:r>
        <w:rPr>
          <w:rFonts w:ascii="Arial" w:hAnsi="Arial" w:cs="Arial"/>
          <w:b/>
          <w:sz w:val="24"/>
          <w:szCs w:val="24"/>
        </w:rPr>
        <w:t>IBC – Industry &amp; Business Centre</w:t>
      </w:r>
    </w:p>
    <w:p w:rsidR="009270D8" w:rsidRDefault="009270D8" w:rsidP="00DC4491">
      <w:pPr>
        <w:rPr>
          <w:rFonts w:ascii="Arial" w:hAnsi="Arial" w:cs="Arial"/>
          <w:b/>
          <w:sz w:val="24"/>
          <w:szCs w:val="24"/>
        </w:rPr>
      </w:pPr>
    </w:p>
    <w:p w:rsidR="002669FA" w:rsidRDefault="002669FA" w:rsidP="002669FA">
      <w:pPr>
        <w:jc w:val="center"/>
        <w:rPr>
          <w:rFonts w:ascii="Arial" w:hAnsi="Arial" w:cs="Arial"/>
          <w:b/>
          <w:sz w:val="24"/>
          <w:szCs w:val="24"/>
        </w:rPr>
      </w:pPr>
      <w:r w:rsidRPr="002669FA">
        <w:rPr>
          <w:rFonts w:ascii="Arial" w:hAnsi="Arial" w:cs="Arial"/>
          <w:b/>
          <w:noProof/>
          <w:sz w:val="24"/>
          <w:szCs w:val="24"/>
        </w:rPr>
        <w:drawing>
          <wp:inline distT="0" distB="0" distL="0" distR="0">
            <wp:extent cx="4572000" cy="2743200"/>
            <wp:effectExtent l="0" t="0" r="0" b="0"/>
            <wp:docPr id="31"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669FA" w:rsidRDefault="002669FA" w:rsidP="002669FA">
      <w:pPr>
        <w:jc w:val="center"/>
        <w:rPr>
          <w:rFonts w:ascii="Arial" w:hAnsi="Arial" w:cs="Arial"/>
          <w:b/>
          <w:sz w:val="24"/>
          <w:szCs w:val="24"/>
        </w:rPr>
      </w:pPr>
    </w:p>
    <w:p w:rsidR="002669FA" w:rsidRDefault="002669FA" w:rsidP="002669FA">
      <w:pPr>
        <w:rPr>
          <w:rFonts w:ascii="Arial" w:hAnsi="Arial" w:cs="Arial"/>
          <w:b/>
          <w:sz w:val="24"/>
          <w:szCs w:val="24"/>
        </w:rPr>
      </w:pPr>
      <w:r>
        <w:rPr>
          <w:rFonts w:ascii="Arial" w:hAnsi="Arial" w:cs="Arial"/>
          <w:b/>
          <w:sz w:val="24"/>
          <w:szCs w:val="24"/>
        </w:rPr>
        <w:t>IES – School of Inclusive and Essential Skills</w:t>
      </w:r>
    </w:p>
    <w:p w:rsidR="002669FA" w:rsidRDefault="002669FA" w:rsidP="002669FA">
      <w:pPr>
        <w:rPr>
          <w:rFonts w:ascii="Arial" w:hAnsi="Arial" w:cs="Arial"/>
          <w:b/>
          <w:sz w:val="24"/>
          <w:szCs w:val="24"/>
        </w:rPr>
      </w:pPr>
    </w:p>
    <w:p w:rsidR="002669FA" w:rsidRDefault="002669FA" w:rsidP="002669FA">
      <w:pPr>
        <w:jc w:val="center"/>
        <w:rPr>
          <w:rFonts w:ascii="Arial" w:hAnsi="Arial" w:cs="Arial"/>
          <w:b/>
          <w:sz w:val="24"/>
          <w:szCs w:val="24"/>
        </w:rPr>
      </w:pPr>
      <w:r w:rsidRPr="002669FA">
        <w:rPr>
          <w:rFonts w:ascii="Arial" w:hAnsi="Arial" w:cs="Arial"/>
          <w:b/>
          <w:noProof/>
          <w:sz w:val="24"/>
          <w:szCs w:val="24"/>
        </w:rPr>
        <w:drawing>
          <wp:inline distT="0" distB="0" distL="0" distR="0">
            <wp:extent cx="4572000" cy="2743200"/>
            <wp:effectExtent l="0" t="0" r="0" b="0"/>
            <wp:docPr id="32"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669FA" w:rsidRDefault="002669FA" w:rsidP="002669FA">
      <w:pPr>
        <w:rPr>
          <w:rFonts w:ascii="Arial" w:hAnsi="Arial" w:cs="Arial"/>
          <w:b/>
          <w:sz w:val="24"/>
          <w:szCs w:val="24"/>
        </w:rPr>
      </w:pPr>
    </w:p>
    <w:p w:rsidR="002669FA" w:rsidRDefault="002669FA" w:rsidP="00DC4491">
      <w:pPr>
        <w:rPr>
          <w:rFonts w:ascii="Arial" w:hAnsi="Arial" w:cs="Arial"/>
          <w:b/>
          <w:sz w:val="24"/>
          <w:szCs w:val="24"/>
        </w:rPr>
      </w:pPr>
    </w:p>
    <w:p w:rsidR="002669FA" w:rsidRDefault="002669FA" w:rsidP="00DC4491">
      <w:pPr>
        <w:rPr>
          <w:rFonts w:ascii="Arial" w:hAnsi="Arial" w:cs="Arial"/>
          <w:b/>
          <w:sz w:val="24"/>
          <w:szCs w:val="24"/>
        </w:rPr>
      </w:pPr>
    </w:p>
    <w:p w:rsidR="002669FA" w:rsidRDefault="002669FA" w:rsidP="00DC4491">
      <w:pPr>
        <w:rPr>
          <w:rFonts w:ascii="Arial" w:hAnsi="Arial" w:cs="Arial"/>
          <w:b/>
          <w:sz w:val="24"/>
          <w:szCs w:val="24"/>
        </w:rPr>
      </w:pPr>
    </w:p>
    <w:p w:rsidR="002669FA" w:rsidRDefault="002669FA" w:rsidP="00DC4491">
      <w:pPr>
        <w:rPr>
          <w:rFonts w:ascii="Arial" w:hAnsi="Arial" w:cs="Arial"/>
          <w:b/>
          <w:sz w:val="24"/>
          <w:szCs w:val="24"/>
        </w:rPr>
      </w:pPr>
      <w:r>
        <w:rPr>
          <w:rFonts w:ascii="Arial" w:hAnsi="Arial" w:cs="Arial"/>
          <w:b/>
          <w:sz w:val="24"/>
          <w:szCs w:val="24"/>
        </w:rPr>
        <w:t>MAS – School of Mathematics and Science</w:t>
      </w:r>
    </w:p>
    <w:p w:rsidR="002669FA" w:rsidRDefault="002669FA" w:rsidP="00DC4491">
      <w:pPr>
        <w:rPr>
          <w:rFonts w:ascii="Arial" w:hAnsi="Arial" w:cs="Arial"/>
          <w:b/>
          <w:sz w:val="24"/>
          <w:szCs w:val="24"/>
        </w:rPr>
      </w:pPr>
    </w:p>
    <w:p w:rsidR="002669FA" w:rsidRDefault="002669FA" w:rsidP="002669FA">
      <w:pPr>
        <w:jc w:val="center"/>
        <w:rPr>
          <w:rFonts w:ascii="Arial" w:hAnsi="Arial" w:cs="Arial"/>
          <w:b/>
          <w:sz w:val="24"/>
          <w:szCs w:val="24"/>
        </w:rPr>
      </w:pPr>
      <w:r w:rsidRPr="002669FA">
        <w:rPr>
          <w:rFonts w:ascii="Arial" w:hAnsi="Arial" w:cs="Arial"/>
          <w:b/>
          <w:noProof/>
          <w:sz w:val="24"/>
          <w:szCs w:val="24"/>
        </w:rPr>
        <w:drawing>
          <wp:inline distT="0" distB="0" distL="0" distR="0">
            <wp:extent cx="4572000" cy="2743200"/>
            <wp:effectExtent l="0" t="0" r="0" b="0"/>
            <wp:docPr id="33"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669FA" w:rsidRDefault="002669FA" w:rsidP="002669FA">
      <w:pPr>
        <w:jc w:val="center"/>
        <w:rPr>
          <w:rFonts w:ascii="Arial" w:hAnsi="Arial" w:cs="Arial"/>
          <w:b/>
          <w:sz w:val="24"/>
          <w:szCs w:val="24"/>
        </w:rPr>
      </w:pPr>
    </w:p>
    <w:p w:rsidR="002669FA" w:rsidRDefault="00614ECF" w:rsidP="002669FA">
      <w:pPr>
        <w:rPr>
          <w:rFonts w:ascii="Arial" w:hAnsi="Arial" w:cs="Arial"/>
          <w:b/>
          <w:sz w:val="24"/>
          <w:szCs w:val="24"/>
        </w:rPr>
      </w:pPr>
      <w:r>
        <w:rPr>
          <w:rFonts w:ascii="Arial" w:hAnsi="Arial" w:cs="Arial"/>
          <w:b/>
          <w:sz w:val="24"/>
          <w:szCs w:val="24"/>
        </w:rPr>
        <w:t>PVS – School of Pre-V</w:t>
      </w:r>
      <w:r w:rsidR="002669FA">
        <w:rPr>
          <w:rFonts w:ascii="Arial" w:hAnsi="Arial" w:cs="Arial"/>
          <w:b/>
          <w:sz w:val="24"/>
          <w:szCs w:val="24"/>
        </w:rPr>
        <w:t>ocational Studies</w:t>
      </w:r>
    </w:p>
    <w:p w:rsidR="002669FA" w:rsidRDefault="002669FA" w:rsidP="002669FA">
      <w:pPr>
        <w:rPr>
          <w:rFonts w:ascii="Arial" w:hAnsi="Arial" w:cs="Arial"/>
          <w:b/>
          <w:sz w:val="24"/>
          <w:szCs w:val="24"/>
        </w:rPr>
      </w:pPr>
    </w:p>
    <w:p w:rsidR="002669FA" w:rsidRDefault="00A420A3" w:rsidP="00A420A3">
      <w:pPr>
        <w:jc w:val="center"/>
        <w:rPr>
          <w:rFonts w:ascii="Arial" w:hAnsi="Arial" w:cs="Arial"/>
          <w:b/>
          <w:sz w:val="24"/>
          <w:szCs w:val="24"/>
        </w:rPr>
      </w:pPr>
      <w:r w:rsidRPr="00A420A3">
        <w:rPr>
          <w:rFonts w:ascii="Arial" w:hAnsi="Arial" w:cs="Arial"/>
          <w:b/>
          <w:noProof/>
          <w:sz w:val="24"/>
          <w:szCs w:val="24"/>
        </w:rPr>
        <w:drawing>
          <wp:inline distT="0" distB="0" distL="0" distR="0">
            <wp:extent cx="4572000" cy="27432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420A3" w:rsidRDefault="00A420A3" w:rsidP="00A420A3">
      <w:pPr>
        <w:jc w:val="center"/>
        <w:rPr>
          <w:rFonts w:ascii="Arial" w:hAnsi="Arial" w:cs="Arial"/>
          <w:b/>
          <w:sz w:val="24"/>
          <w:szCs w:val="24"/>
        </w:rPr>
      </w:pPr>
    </w:p>
    <w:p w:rsidR="009270D8" w:rsidRDefault="009270D8" w:rsidP="00A420A3">
      <w:pPr>
        <w:rPr>
          <w:rFonts w:ascii="Arial" w:hAnsi="Arial" w:cs="Arial"/>
          <w:b/>
          <w:sz w:val="24"/>
          <w:szCs w:val="24"/>
        </w:rPr>
      </w:pPr>
    </w:p>
    <w:p w:rsidR="009270D8" w:rsidRDefault="009270D8" w:rsidP="00A420A3">
      <w:pPr>
        <w:rPr>
          <w:rFonts w:ascii="Arial" w:hAnsi="Arial" w:cs="Arial"/>
          <w:b/>
          <w:sz w:val="24"/>
          <w:szCs w:val="24"/>
        </w:rPr>
      </w:pPr>
    </w:p>
    <w:p w:rsidR="009270D8" w:rsidRDefault="009270D8" w:rsidP="00A420A3">
      <w:pPr>
        <w:rPr>
          <w:rFonts w:ascii="Arial" w:hAnsi="Arial" w:cs="Arial"/>
          <w:b/>
          <w:sz w:val="24"/>
          <w:szCs w:val="24"/>
        </w:rPr>
      </w:pPr>
    </w:p>
    <w:p w:rsidR="00A420A3" w:rsidRDefault="008E75C2" w:rsidP="00A420A3">
      <w:pPr>
        <w:rPr>
          <w:rFonts w:ascii="Arial" w:hAnsi="Arial" w:cs="Arial"/>
          <w:b/>
          <w:sz w:val="24"/>
          <w:szCs w:val="24"/>
        </w:rPr>
      </w:pPr>
      <w:r>
        <w:rPr>
          <w:rFonts w:ascii="Arial" w:hAnsi="Arial" w:cs="Arial"/>
          <w:b/>
          <w:sz w:val="24"/>
          <w:szCs w:val="24"/>
        </w:rPr>
        <w:t>SPS – School of Sport and Public Services</w:t>
      </w:r>
    </w:p>
    <w:p w:rsidR="008E75C2" w:rsidRDefault="008E75C2" w:rsidP="00A420A3">
      <w:pPr>
        <w:rPr>
          <w:rFonts w:ascii="Arial" w:hAnsi="Arial" w:cs="Arial"/>
          <w:b/>
          <w:sz w:val="24"/>
          <w:szCs w:val="24"/>
        </w:rPr>
      </w:pPr>
    </w:p>
    <w:p w:rsidR="00A420A3" w:rsidRDefault="008E75C2" w:rsidP="008E75C2">
      <w:pPr>
        <w:jc w:val="center"/>
        <w:rPr>
          <w:rFonts w:ascii="Arial" w:hAnsi="Arial" w:cs="Arial"/>
          <w:b/>
          <w:sz w:val="24"/>
          <w:szCs w:val="24"/>
        </w:rPr>
      </w:pPr>
      <w:r w:rsidRPr="008E75C2">
        <w:rPr>
          <w:rFonts w:ascii="Arial" w:hAnsi="Arial" w:cs="Arial"/>
          <w:b/>
          <w:noProof/>
          <w:sz w:val="24"/>
          <w:szCs w:val="24"/>
        </w:rPr>
        <w:drawing>
          <wp:inline distT="0" distB="0" distL="0" distR="0">
            <wp:extent cx="4572000" cy="2743200"/>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E75C2" w:rsidRDefault="008E75C2" w:rsidP="00A420A3">
      <w:pPr>
        <w:rPr>
          <w:rFonts w:ascii="Arial" w:hAnsi="Arial" w:cs="Arial"/>
          <w:b/>
          <w:sz w:val="24"/>
          <w:szCs w:val="24"/>
        </w:rPr>
      </w:pPr>
    </w:p>
    <w:p w:rsidR="008E75C2" w:rsidRDefault="008E75C2" w:rsidP="00A420A3">
      <w:pPr>
        <w:rPr>
          <w:rFonts w:ascii="Arial" w:hAnsi="Arial" w:cs="Arial"/>
          <w:b/>
          <w:sz w:val="24"/>
          <w:szCs w:val="24"/>
        </w:rPr>
      </w:pPr>
      <w:r>
        <w:rPr>
          <w:rFonts w:ascii="Arial" w:hAnsi="Arial" w:cs="Arial"/>
          <w:b/>
          <w:sz w:val="24"/>
          <w:szCs w:val="24"/>
        </w:rPr>
        <w:t>SSL – School of Social Studies and Languages</w:t>
      </w:r>
    </w:p>
    <w:p w:rsidR="009270D8" w:rsidRDefault="009270D8" w:rsidP="00A420A3">
      <w:pPr>
        <w:rPr>
          <w:rFonts w:ascii="Arial" w:hAnsi="Arial" w:cs="Arial"/>
          <w:b/>
          <w:sz w:val="24"/>
          <w:szCs w:val="24"/>
        </w:rPr>
      </w:pPr>
    </w:p>
    <w:p w:rsidR="008E75C2" w:rsidRDefault="008E75C2" w:rsidP="008E75C2">
      <w:pPr>
        <w:jc w:val="center"/>
        <w:rPr>
          <w:rFonts w:ascii="Arial" w:hAnsi="Arial" w:cs="Arial"/>
          <w:b/>
          <w:sz w:val="24"/>
          <w:szCs w:val="24"/>
        </w:rPr>
      </w:pPr>
      <w:r w:rsidRPr="008E75C2">
        <w:rPr>
          <w:rFonts w:ascii="Arial" w:hAnsi="Arial" w:cs="Arial"/>
          <w:b/>
          <w:noProof/>
          <w:sz w:val="24"/>
          <w:szCs w:val="24"/>
        </w:rPr>
        <w:drawing>
          <wp:inline distT="0" distB="0" distL="0" distR="0">
            <wp:extent cx="4572000" cy="2743200"/>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E75C2" w:rsidRDefault="008E75C2" w:rsidP="008E75C2">
      <w:pPr>
        <w:jc w:val="center"/>
        <w:rPr>
          <w:rFonts w:ascii="Arial" w:hAnsi="Arial" w:cs="Arial"/>
          <w:b/>
          <w:sz w:val="24"/>
          <w:szCs w:val="24"/>
        </w:rPr>
      </w:pPr>
    </w:p>
    <w:p w:rsidR="008E75C2" w:rsidRDefault="008E75C2" w:rsidP="008E75C2">
      <w:pPr>
        <w:jc w:val="center"/>
        <w:rPr>
          <w:rFonts w:ascii="Arial" w:hAnsi="Arial" w:cs="Arial"/>
          <w:b/>
          <w:sz w:val="24"/>
          <w:szCs w:val="24"/>
        </w:rPr>
      </w:pPr>
    </w:p>
    <w:p w:rsidR="008E75C2" w:rsidRDefault="008E75C2" w:rsidP="008E75C2">
      <w:pPr>
        <w:jc w:val="center"/>
        <w:rPr>
          <w:rFonts w:ascii="Arial" w:hAnsi="Arial" w:cs="Arial"/>
          <w:b/>
          <w:sz w:val="24"/>
          <w:szCs w:val="24"/>
        </w:rPr>
      </w:pPr>
    </w:p>
    <w:p w:rsidR="008E75C2" w:rsidRDefault="008E75C2" w:rsidP="008E75C2">
      <w:pPr>
        <w:jc w:val="center"/>
        <w:rPr>
          <w:rFonts w:ascii="Arial" w:hAnsi="Arial" w:cs="Arial"/>
          <w:b/>
          <w:sz w:val="24"/>
          <w:szCs w:val="24"/>
        </w:rPr>
      </w:pPr>
    </w:p>
    <w:p w:rsidR="008E75C2" w:rsidRDefault="00581402" w:rsidP="008E75C2">
      <w:pPr>
        <w:rPr>
          <w:rFonts w:ascii="Arial" w:hAnsi="Arial" w:cs="Arial"/>
          <w:b/>
          <w:sz w:val="24"/>
          <w:szCs w:val="24"/>
        </w:rPr>
      </w:pPr>
      <w:r>
        <w:rPr>
          <w:rFonts w:ascii="Arial" w:hAnsi="Arial" w:cs="Arial"/>
          <w:b/>
          <w:sz w:val="24"/>
          <w:szCs w:val="24"/>
        </w:rPr>
        <w:t xml:space="preserve">UFI – </w:t>
      </w:r>
      <w:proofErr w:type="spellStart"/>
      <w:r w:rsidR="0059500D">
        <w:rPr>
          <w:rFonts w:ascii="Arial" w:hAnsi="Arial" w:cs="Arial"/>
          <w:b/>
          <w:sz w:val="24"/>
          <w:szCs w:val="24"/>
        </w:rPr>
        <w:t>l</w:t>
      </w:r>
      <w:r>
        <w:rPr>
          <w:rFonts w:ascii="Arial" w:hAnsi="Arial" w:cs="Arial"/>
          <w:b/>
          <w:sz w:val="24"/>
          <w:szCs w:val="24"/>
        </w:rPr>
        <w:t>earn</w:t>
      </w:r>
      <w:r w:rsidR="0059500D">
        <w:rPr>
          <w:rFonts w:ascii="Arial" w:hAnsi="Arial" w:cs="Arial"/>
          <w:b/>
          <w:sz w:val="24"/>
          <w:szCs w:val="24"/>
        </w:rPr>
        <w:t>d</w:t>
      </w:r>
      <w:r w:rsidR="008E75C2">
        <w:rPr>
          <w:rFonts w:ascii="Arial" w:hAnsi="Arial" w:cs="Arial"/>
          <w:b/>
          <w:sz w:val="24"/>
          <w:szCs w:val="24"/>
        </w:rPr>
        <w:t>irect</w:t>
      </w:r>
      <w:proofErr w:type="spellEnd"/>
    </w:p>
    <w:p w:rsidR="009270D8" w:rsidRDefault="009270D8" w:rsidP="008E75C2">
      <w:pPr>
        <w:rPr>
          <w:rFonts w:ascii="Arial" w:hAnsi="Arial" w:cs="Arial"/>
          <w:b/>
          <w:sz w:val="24"/>
          <w:szCs w:val="24"/>
        </w:rPr>
      </w:pPr>
    </w:p>
    <w:p w:rsidR="008E75C2" w:rsidRDefault="008E75C2" w:rsidP="008E75C2">
      <w:pPr>
        <w:jc w:val="center"/>
        <w:rPr>
          <w:rFonts w:ascii="Arial" w:hAnsi="Arial" w:cs="Arial"/>
          <w:b/>
          <w:sz w:val="24"/>
          <w:szCs w:val="24"/>
        </w:rPr>
      </w:pPr>
      <w:r w:rsidRPr="008E75C2">
        <w:rPr>
          <w:rFonts w:ascii="Arial" w:hAnsi="Arial" w:cs="Arial"/>
          <w:b/>
          <w:noProof/>
          <w:sz w:val="24"/>
          <w:szCs w:val="24"/>
        </w:rPr>
        <w:drawing>
          <wp:inline distT="0" distB="0" distL="0" distR="0">
            <wp:extent cx="4572000" cy="2743200"/>
            <wp:effectExtent l="0" t="0" r="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E75C2" w:rsidRDefault="008E75C2" w:rsidP="008E75C2">
      <w:pPr>
        <w:jc w:val="center"/>
        <w:rPr>
          <w:rFonts w:ascii="Arial" w:hAnsi="Arial" w:cs="Arial"/>
          <w:b/>
          <w:sz w:val="24"/>
          <w:szCs w:val="24"/>
        </w:rPr>
      </w:pPr>
    </w:p>
    <w:p w:rsidR="008E75C2" w:rsidRPr="00924E0B" w:rsidRDefault="00924E0B" w:rsidP="008E75C2">
      <w:pPr>
        <w:rPr>
          <w:rFonts w:ascii="Arial" w:hAnsi="Arial" w:cs="Arial"/>
          <w:sz w:val="24"/>
          <w:szCs w:val="24"/>
        </w:rPr>
      </w:pPr>
      <w:r w:rsidRPr="00924E0B">
        <w:rPr>
          <w:rFonts w:ascii="Arial" w:hAnsi="Arial" w:cs="Arial"/>
          <w:sz w:val="24"/>
          <w:szCs w:val="24"/>
        </w:rPr>
        <w:t xml:space="preserve">It was not possible to produce similar charts for BES and PWT. The School of Building and Engineering Services was established in 2009-2010 so no data is available prior to this. There were no male enrolments identified under PWT for 2007-2008 and 2009-2010. </w:t>
      </w:r>
    </w:p>
    <w:p w:rsidR="00924E0B" w:rsidRPr="00924E0B" w:rsidRDefault="00924E0B" w:rsidP="008E75C2">
      <w:pPr>
        <w:rPr>
          <w:rFonts w:ascii="Arial" w:hAnsi="Arial" w:cs="Arial"/>
          <w:sz w:val="24"/>
          <w:szCs w:val="24"/>
        </w:rPr>
      </w:pPr>
    </w:p>
    <w:p w:rsidR="00924E0B" w:rsidRPr="00924E0B" w:rsidRDefault="00924E0B" w:rsidP="008E75C2">
      <w:pPr>
        <w:rPr>
          <w:rFonts w:ascii="Arial" w:hAnsi="Arial" w:cs="Arial"/>
          <w:sz w:val="24"/>
          <w:szCs w:val="24"/>
        </w:rPr>
      </w:pPr>
      <w:r w:rsidRPr="00924E0B">
        <w:rPr>
          <w:rFonts w:ascii="Arial" w:hAnsi="Arial" w:cs="Arial"/>
          <w:sz w:val="24"/>
          <w:szCs w:val="24"/>
        </w:rPr>
        <w:t>Please note that after 2007-2008</w:t>
      </w:r>
      <w:r w:rsidR="0059500D">
        <w:rPr>
          <w:rFonts w:ascii="Arial" w:hAnsi="Arial" w:cs="Arial"/>
          <w:sz w:val="24"/>
          <w:szCs w:val="24"/>
        </w:rPr>
        <w:t>,</w:t>
      </w:r>
      <w:r w:rsidRPr="00924E0B">
        <w:rPr>
          <w:rFonts w:ascii="Arial" w:hAnsi="Arial" w:cs="Arial"/>
          <w:sz w:val="24"/>
          <w:szCs w:val="24"/>
        </w:rPr>
        <w:t xml:space="preserve"> AS </w:t>
      </w:r>
      <w:r w:rsidR="00C20255">
        <w:rPr>
          <w:rFonts w:ascii="Arial" w:hAnsi="Arial" w:cs="Arial"/>
          <w:sz w:val="24"/>
          <w:szCs w:val="24"/>
        </w:rPr>
        <w:t xml:space="preserve">Level </w:t>
      </w:r>
      <w:r w:rsidRPr="00924E0B">
        <w:rPr>
          <w:rFonts w:ascii="Arial" w:hAnsi="Arial" w:cs="Arial"/>
          <w:sz w:val="24"/>
          <w:szCs w:val="24"/>
        </w:rPr>
        <w:t xml:space="preserve">and A Level enrolments are grouped under the Faculty of Sixth Form and not by school. </w:t>
      </w:r>
    </w:p>
    <w:p w:rsidR="008E75C2" w:rsidRDefault="008E75C2" w:rsidP="00A420A3">
      <w:pPr>
        <w:rPr>
          <w:rFonts w:ascii="Arial" w:hAnsi="Arial" w:cs="Arial"/>
          <w:b/>
          <w:sz w:val="24"/>
          <w:szCs w:val="24"/>
        </w:rPr>
      </w:pPr>
    </w:p>
    <w:p w:rsidR="008E75C2" w:rsidRDefault="008E75C2" w:rsidP="00A420A3">
      <w:pPr>
        <w:rPr>
          <w:rFonts w:ascii="Arial" w:hAnsi="Arial" w:cs="Arial"/>
          <w:b/>
          <w:sz w:val="24"/>
          <w:szCs w:val="24"/>
        </w:rPr>
      </w:pPr>
    </w:p>
    <w:p w:rsidR="008E75C2" w:rsidRDefault="008E75C2" w:rsidP="00A420A3">
      <w:pPr>
        <w:rPr>
          <w:rFonts w:ascii="Arial" w:hAnsi="Arial" w:cs="Arial"/>
          <w:b/>
          <w:sz w:val="24"/>
          <w:szCs w:val="24"/>
        </w:rPr>
      </w:pPr>
    </w:p>
    <w:p w:rsidR="00924E0B" w:rsidRDefault="00924E0B" w:rsidP="00A420A3">
      <w:pPr>
        <w:rPr>
          <w:rFonts w:ascii="Arial" w:hAnsi="Arial" w:cs="Arial"/>
          <w:b/>
          <w:sz w:val="24"/>
          <w:szCs w:val="24"/>
        </w:rPr>
      </w:pPr>
    </w:p>
    <w:p w:rsidR="00924E0B" w:rsidRDefault="00924E0B" w:rsidP="00A420A3">
      <w:pPr>
        <w:rPr>
          <w:rFonts w:ascii="Arial" w:hAnsi="Arial" w:cs="Arial"/>
          <w:b/>
          <w:sz w:val="24"/>
          <w:szCs w:val="24"/>
        </w:rPr>
      </w:pPr>
    </w:p>
    <w:p w:rsidR="00924E0B" w:rsidRDefault="00924E0B" w:rsidP="00A420A3">
      <w:pPr>
        <w:rPr>
          <w:rFonts w:ascii="Arial" w:hAnsi="Arial" w:cs="Arial"/>
          <w:b/>
          <w:sz w:val="24"/>
          <w:szCs w:val="24"/>
        </w:rPr>
      </w:pPr>
    </w:p>
    <w:p w:rsidR="00924E0B" w:rsidRDefault="00924E0B" w:rsidP="00A420A3">
      <w:pPr>
        <w:rPr>
          <w:rFonts w:ascii="Arial" w:hAnsi="Arial" w:cs="Arial"/>
          <w:b/>
          <w:sz w:val="24"/>
          <w:szCs w:val="24"/>
        </w:rPr>
      </w:pPr>
    </w:p>
    <w:p w:rsidR="00924E0B" w:rsidRDefault="00924E0B" w:rsidP="00A420A3">
      <w:pPr>
        <w:rPr>
          <w:rFonts w:ascii="Arial" w:hAnsi="Arial" w:cs="Arial"/>
          <w:b/>
          <w:sz w:val="24"/>
          <w:szCs w:val="24"/>
        </w:rPr>
      </w:pPr>
    </w:p>
    <w:p w:rsidR="00924E0B" w:rsidRDefault="00924E0B" w:rsidP="00A420A3">
      <w:pPr>
        <w:rPr>
          <w:rFonts w:ascii="Arial" w:hAnsi="Arial" w:cs="Arial"/>
          <w:b/>
          <w:sz w:val="24"/>
          <w:szCs w:val="24"/>
        </w:rPr>
      </w:pPr>
    </w:p>
    <w:p w:rsidR="00924E0B" w:rsidRDefault="00924E0B" w:rsidP="00A420A3">
      <w:pPr>
        <w:rPr>
          <w:rFonts w:ascii="Arial" w:hAnsi="Arial" w:cs="Arial"/>
          <w:b/>
          <w:sz w:val="24"/>
          <w:szCs w:val="24"/>
        </w:rPr>
      </w:pPr>
    </w:p>
    <w:p w:rsidR="00590916" w:rsidRDefault="00590916" w:rsidP="00A420A3">
      <w:pPr>
        <w:rPr>
          <w:rFonts w:ascii="Arial" w:hAnsi="Arial" w:cs="Arial"/>
          <w:b/>
          <w:sz w:val="24"/>
          <w:szCs w:val="24"/>
        </w:rPr>
      </w:pPr>
    </w:p>
    <w:p w:rsidR="00924E0B" w:rsidRDefault="00963A75" w:rsidP="00A420A3">
      <w:pPr>
        <w:rPr>
          <w:rFonts w:ascii="Arial" w:hAnsi="Arial" w:cs="Arial"/>
          <w:b/>
          <w:sz w:val="24"/>
          <w:szCs w:val="24"/>
        </w:rPr>
      </w:pPr>
      <w:r>
        <w:rPr>
          <w:rFonts w:ascii="Arial" w:hAnsi="Arial" w:cs="Arial"/>
          <w:b/>
          <w:sz w:val="24"/>
          <w:szCs w:val="24"/>
        </w:rPr>
        <w:t>Analysis of Data by E</w:t>
      </w:r>
      <w:r w:rsidR="00924E0B">
        <w:rPr>
          <w:rFonts w:ascii="Arial" w:hAnsi="Arial" w:cs="Arial"/>
          <w:b/>
          <w:sz w:val="24"/>
          <w:szCs w:val="24"/>
        </w:rPr>
        <w:t>thnicity</w:t>
      </w:r>
    </w:p>
    <w:p w:rsidR="00924E0B" w:rsidRPr="00924E0B" w:rsidRDefault="00924E0B" w:rsidP="00A420A3">
      <w:pPr>
        <w:rPr>
          <w:rFonts w:ascii="Arial" w:hAnsi="Arial" w:cs="Arial"/>
          <w:sz w:val="24"/>
          <w:szCs w:val="24"/>
        </w:rPr>
      </w:pPr>
      <w:r w:rsidRPr="00924E0B">
        <w:rPr>
          <w:rFonts w:ascii="Arial" w:hAnsi="Arial" w:cs="Arial"/>
          <w:sz w:val="24"/>
          <w:szCs w:val="24"/>
        </w:rPr>
        <w:t>The retention, attainment and success of males and females of different ethnicity w</w:t>
      </w:r>
      <w:r>
        <w:rPr>
          <w:rFonts w:ascii="Arial" w:hAnsi="Arial" w:cs="Arial"/>
          <w:sz w:val="24"/>
          <w:szCs w:val="24"/>
        </w:rPr>
        <w:t>ere</w:t>
      </w:r>
      <w:r w:rsidRPr="00924E0B">
        <w:rPr>
          <w:rFonts w:ascii="Arial" w:hAnsi="Arial" w:cs="Arial"/>
          <w:sz w:val="24"/>
          <w:szCs w:val="24"/>
        </w:rPr>
        <w:t xml:space="preserve"> compared for the academic years 20</w:t>
      </w:r>
      <w:r w:rsidR="00C26FC7">
        <w:rPr>
          <w:rFonts w:ascii="Arial" w:hAnsi="Arial" w:cs="Arial"/>
          <w:sz w:val="24"/>
          <w:szCs w:val="24"/>
        </w:rPr>
        <w:t>0</w:t>
      </w:r>
      <w:r w:rsidRPr="00924E0B">
        <w:rPr>
          <w:rFonts w:ascii="Arial" w:hAnsi="Arial" w:cs="Arial"/>
          <w:sz w:val="24"/>
          <w:szCs w:val="24"/>
        </w:rPr>
        <w:t>7-20</w:t>
      </w:r>
      <w:r w:rsidR="00C26FC7">
        <w:rPr>
          <w:rFonts w:ascii="Arial" w:hAnsi="Arial" w:cs="Arial"/>
          <w:sz w:val="24"/>
          <w:szCs w:val="24"/>
        </w:rPr>
        <w:t>0</w:t>
      </w:r>
      <w:r w:rsidRPr="00924E0B">
        <w:rPr>
          <w:rFonts w:ascii="Arial" w:hAnsi="Arial" w:cs="Arial"/>
          <w:sz w:val="24"/>
          <w:szCs w:val="24"/>
        </w:rPr>
        <w:t>8, 2008-20</w:t>
      </w:r>
      <w:r w:rsidR="00C26FC7">
        <w:rPr>
          <w:rFonts w:ascii="Arial" w:hAnsi="Arial" w:cs="Arial"/>
          <w:sz w:val="24"/>
          <w:szCs w:val="24"/>
        </w:rPr>
        <w:t>0</w:t>
      </w:r>
      <w:r w:rsidRPr="00924E0B">
        <w:rPr>
          <w:rFonts w:ascii="Arial" w:hAnsi="Arial" w:cs="Arial"/>
          <w:sz w:val="24"/>
          <w:szCs w:val="24"/>
        </w:rPr>
        <w:t>9 and 2009-2010.</w:t>
      </w:r>
    </w:p>
    <w:p w:rsidR="00924E0B" w:rsidRDefault="00924E0B" w:rsidP="00A420A3">
      <w:pPr>
        <w:rPr>
          <w:rFonts w:ascii="Arial" w:hAnsi="Arial" w:cs="Arial"/>
          <w:b/>
          <w:sz w:val="24"/>
          <w:szCs w:val="24"/>
        </w:rPr>
      </w:pPr>
      <w:r>
        <w:rPr>
          <w:rFonts w:ascii="Arial" w:hAnsi="Arial" w:cs="Arial"/>
          <w:b/>
          <w:sz w:val="24"/>
          <w:szCs w:val="24"/>
        </w:rPr>
        <w:t>2007-2008</w:t>
      </w:r>
    </w:p>
    <w:p w:rsidR="00924E0B" w:rsidRDefault="00924E0B" w:rsidP="00A420A3">
      <w:pPr>
        <w:rPr>
          <w:rFonts w:ascii="Arial" w:hAnsi="Arial" w:cs="Arial"/>
          <w:sz w:val="24"/>
          <w:szCs w:val="24"/>
        </w:rPr>
      </w:pPr>
      <w:r w:rsidRPr="00924E0B">
        <w:rPr>
          <w:rFonts w:ascii="Arial" w:hAnsi="Arial" w:cs="Arial"/>
          <w:sz w:val="24"/>
          <w:szCs w:val="24"/>
        </w:rPr>
        <w:t>The number of enrolments from different ethnic groups is illustrated in the following table:</w:t>
      </w:r>
    </w:p>
    <w:tbl>
      <w:tblPr>
        <w:tblStyle w:val="TableGrid"/>
        <w:tblW w:w="0" w:type="auto"/>
        <w:tblLook w:val="04A0"/>
      </w:tblPr>
      <w:tblGrid>
        <w:gridCol w:w="3936"/>
        <w:gridCol w:w="1109"/>
        <w:gridCol w:w="1017"/>
        <w:gridCol w:w="1331"/>
        <w:gridCol w:w="1849"/>
      </w:tblGrid>
      <w:tr w:rsidR="00924E0B" w:rsidTr="00590916">
        <w:tc>
          <w:tcPr>
            <w:tcW w:w="3936" w:type="dxa"/>
            <w:shd w:val="clear" w:color="auto" w:fill="E5B8B7" w:themeFill="accent2" w:themeFillTint="66"/>
          </w:tcPr>
          <w:p w:rsidR="00924E0B" w:rsidRDefault="00924E0B" w:rsidP="00924E0B">
            <w:pPr>
              <w:jc w:val="center"/>
              <w:rPr>
                <w:rFonts w:ascii="Arial" w:hAnsi="Arial" w:cs="Arial"/>
                <w:sz w:val="24"/>
                <w:szCs w:val="24"/>
              </w:rPr>
            </w:pPr>
            <w:r>
              <w:rPr>
                <w:rFonts w:ascii="Arial" w:hAnsi="Arial" w:cs="Arial"/>
                <w:sz w:val="24"/>
                <w:szCs w:val="24"/>
              </w:rPr>
              <w:t>Ethnic Origin</w:t>
            </w:r>
          </w:p>
        </w:tc>
        <w:tc>
          <w:tcPr>
            <w:tcW w:w="1109" w:type="dxa"/>
            <w:shd w:val="clear" w:color="auto" w:fill="E5B8B7" w:themeFill="accent2" w:themeFillTint="66"/>
          </w:tcPr>
          <w:p w:rsidR="00924E0B" w:rsidRDefault="00924E0B" w:rsidP="00590916">
            <w:pPr>
              <w:jc w:val="center"/>
              <w:rPr>
                <w:rFonts w:ascii="Arial" w:hAnsi="Arial" w:cs="Arial"/>
                <w:sz w:val="24"/>
                <w:szCs w:val="24"/>
              </w:rPr>
            </w:pPr>
            <w:r>
              <w:rPr>
                <w:rFonts w:ascii="Arial" w:hAnsi="Arial" w:cs="Arial"/>
                <w:sz w:val="24"/>
                <w:szCs w:val="24"/>
              </w:rPr>
              <w:t>Male</w:t>
            </w:r>
          </w:p>
        </w:tc>
        <w:tc>
          <w:tcPr>
            <w:tcW w:w="1017" w:type="dxa"/>
            <w:shd w:val="clear" w:color="auto" w:fill="E5B8B7" w:themeFill="accent2" w:themeFillTint="66"/>
          </w:tcPr>
          <w:p w:rsidR="00924E0B" w:rsidRDefault="00924E0B" w:rsidP="00590916">
            <w:pPr>
              <w:jc w:val="center"/>
              <w:rPr>
                <w:rFonts w:ascii="Arial" w:hAnsi="Arial" w:cs="Arial"/>
                <w:sz w:val="24"/>
                <w:szCs w:val="24"/>
              </w:rPr>
            </w:pPr>
            <w:r>
              <w:rPr>
                <w:rFonts w:ascii="Arial" w:hAnsi="Arial" w:cs="Arial"/>
                <w:sz w:val="24"/>
                <w:szCs w:val="24"/>
              </w:rPr>
              <w:t>Female</w:t>
            </w:r>
          </w:p>
        </w:tc>
        <w:tc>
          <w:tcPr>
            <w:tcW w:w="1331" w:type="dxa"/>
            <w:shd w:val="clear" w:color="auto" w:fill="E5B8B7" w:themeFill="accent2" w:themeFillTint="66"/>
          </w:tcPr>
          <w:p w:rsidR="00924E0B" w:rsidRDefault="00924E0B" w:rsidP="00590916">
            <w:pPr>
              <w:jc w:val="center"/>
              <w:rPr>
                <w:rFonts w:ascii="Arial" w:hAnsi="Arial" w:cs="Arial"/>
                <w:sz w:val="24"/>
                <w:szCs w:val="24"/>
              </w:rPr>
            </w:pPr>
            <w:r>
              <w:rPr>
                <w:rFonts w:ascii="Arial" w:hAnsi="Arial" w:cs="Arial"/>
                <w:sz w:val="24"/>
                <w:szCs w:val="24"/>
              </w:rPr>
              <w:t>Total</w:t>
            </w:r>
          </w:p>
        </w:tc>
        <w:tc>
          <w:tcPr>
            <w:tcW w:w="1849" w:type="dxa"/>
            <w:shd w:val="clear" w:color="auto" w:fill="E5B8B7" w:themeFill="accent2" w:themeFillTint="66"/>
          </w:tcPr>
          <w:p w:rsidR="00924E0B" w:rsidRDefault="00720D5D" w:rsidP="00590916">
            <w:pPr>
              <w:jc w:val="center"/>
              <w:rPr>
                <w:rFonts w:ascii="Arial" w:hAnsi="Arial" w:cs="Arial"/>
                <w:sz w:val="24"/>
                <w:szCs w:val="24"/>
              </w:rPr>
            </w:pPr>
            <w:r>
              <w:rPr>
                <w:rFonts w:ascii="Arial" w:hAnsi="Arial" w:cs="Arial"/>
                <w:sz w:val="24"/>
                <w:szCs w:val="24"/>
              </w:rPr>
              <w:t>% of C</w:t>
            </w:r>
            <w:r w:rsidR="00924E0B">
              <w:rPr>
                <w:rFonts w:ascii="Arial" w:hAnsi="Arial" w:cs="Arial"/>
                <w:sz w:val="24"/>
                <w:szCs w:val="24"/>
              </w:rPr>
              <w:t>ollege total</w:t>
            </w:r>
          </w:p>
        </w:tc>
      </w:tr>
      <w:tr w:rsidR="00924E0B" w:rsidTr="00590916">
        <w:tc>
          <w:tcPr>
            <w:tcW w:w="3936" w:type="dxa"/>
            <w:shd w:val="clear" w:color="auto" w:fill="FFFFFF" w:themeFill="background1"/>
          </w:tcPr>
          <w:p w:rsidR="00590916" w:rsidRDefault="00924E0B" w:rsidP="00A420A3">
            <w:pPr>
              <w:rPr>
                <w:rFonts w:ascii="Arial" w:hAnsi="Arial" w:cs="Arial"/>
                <w:sz w:val="24"/>
                <w:szCs w:val="24"/>
              </w:rPr>
            </w:pPr>
            <w:r>
              <w:rPr>
                <w:rFonts w:ascii="Arial" w:hAnsi="Arial" w:cs="Arial"/>
                <w:sz w:val="24"/>
                <w:szCs w:val="24"/>
              </w:rPr>
              <w:t>Null</w:t>
            </w:r>
          </w:p>
          <w:p w:rsidR="00921DF8" w:rsidRDefault="00921DF8" w:rsidP="00A420A3">
            <w:pPr>
              <w:rPr>
                <w:rFonts w:ascii="Arial" w:hAnsi="Arial" w:cs="Arial"/>
                <w:sz w:val="24"/>
                <w:szCs w:val="24"/>
              </w:rPr>
            </w:pPr>
          </w:p>
        </w:tc>
        <w:tc>
          <w:tcPr>
            <w:tcW w:w="1109" w:type="dxa"/>
          </w:tcPr>
          <w:p w:rsidR="00924E0B" w:rsidRDefault="00590916" w:rsidP="00590916">
            <w:pPr>
              <w:jc w:val="center"/>
              <w:rPr>
                <w:rFonts w:ascii="Arial" w:hAnsi="Arial" w:cs="Arial"/>
                <w:sz w:val="24"/>
                <w:szCs w:val="24"/>
              </w:rPr>
            </w:pPr>
            <w:r>
              <w:rPr>
                <w:rFonts w:ascii="Arial" w:hAnsi="Arial" w:cs="Arial"/>
                <w:sz w:val="24"/>
                <w:szCs w:val="24"/>
              </w:rPr>
              <w:t>0</w:t>
            </w:r>
          </w:p>
        </w:tc>
        <w:tc>
          <w:tcPr>
            <w:tcW w:w="1017" w:type="dxa"/>
          </w:tcPr>
          <w:p w:rsidR="00924E0B" w:rsidRDefault="00590916" w:rsidP="00590916">
            <w:pPr>
              <w:jc w:val="center"/>
              <w:rPr>
                <w:rFonts w:ascii="Arial" w:hAnsi="Arial" w:cs="Arial"/>
                <w:sz w:val="24"/>
                <w:szCs w:val="24"/>
              </w:rPr>
            </w:pPr>
            <w:r>
              <w:rPr>
                <w:rFonts w:ascii="Arial" w:hAnsi="Arial" w:cs="Arial"/>
                <w:sz w:val="24"/>
                <w:szCs w:val="24"/>
              </w:rPr>
              <w:t>2</w:t>
            </w:r>
          </w:p>
        </w:tc>
        <w:tc>
          <w:tcPr>
            <w:tcW w:w="1331" w:type="dxa"/>
          </w:tcPr>
          <w:p w:rsidR="00924E0B" w:rsidRDefault="00590916" w:rsidP="00590916">
            <w:pPr>
              <w:jc w:val="center"/>
              <w:rPr>
                <w:rFonts w:ascii="Arial" w:hAnsi="Arial" w:cs="Arial"/>
                <w:sz w:val="24"/>
                <w:szCs w:val="24"/>
              </w:rPr>
            </w:pPr>
            <w:r>
              <w:rPr>
                <w:rFonts w:ascii="Arial" w:hAnsi="Arial" w:cs="Arial"/>
                <w:sz w:val="24"/>
                <w:szCs w:val="24"/>
              </w:rPr>
              <w:t>2</w:t>
            </w:r>
          </w:p>
        </w:tc>
        <w:tc>
          <w:tcPr>
            <w:tcW w:w="1849" w:type="dxa"/>
          </w:tcPr>
          <w:p w:rsidR="00924E0B" w:rsidRDefault="00590916" w:rsidP="00590916">
            <w:pPr>
              <w:jc w:val="center"/>
              <w:rPr>
                <w:rFonts w:ascii="Arial" w:hAnsi="Arial" w:cs="Arial"/>
                <w:sz w:val="24"/>
                <w:szCs w:val="24"/>
              </w:rPr>
            </w:pPr>
            <w:r>
              <w:rPr>
                <w:rFonts w:ascii="Arial" w:hAnsi="Arial" w:cs="Arial"/>
                <w:sz w:val="24"/>
                <w:szCs w:val="24"/>
              </w:rPr>
              <w:t>0.01%</w:t>
            </w:r>
          </w:p>
        </w:tc>
      </w:tr>
      <w:tr w:rsidR="00924E0B" w:rsidTr="00590916">
        <w:tc>
          <w:tcPr>
            <w:tcW w:w="3936" w:type="dxa"/>
            <w:shd w:val="clear" w:color="auto" w:fill="FFFFFF" w:themeFill="background1"/>
          </w:tcPr>
          <w:p w:rsidR="00590916" w:rsidRDefault="00924E0B" w:rsidP="00A420A3">
            <w:pPr>
              <w:rPr>
                <w:rFonts w:ascii="Arial" w:hAnsi="Arial" w:cs="Arial"/>
                <w:sz w:val="24"/>
                <w:szCs w:val="24"/>
              </w:rPr>
            </w:pPr>
            <w:r>
              <w:rPr>
                <w:rFonts w:ascii="Arial" w:hAnsi="Arial" w:cs="Arial"/>
                <w:sz w:val="24"/>
                <w:szCs w:val="24"/>
              </w:rPr>
              <w:t>White</w:t>
            </w:r>
          </w:p>
          <w:p w:rsidR="00921DF8" w:rsidRDefault="00921DF8" w:rsidP="00A420A3">
            <w:pPr>
              <w:rPr>
                <w:rFonts w:ascii="Arial" w:hAnsi="Arial" w:cs="Arial"/>
                <w:sz w:val="24"/>
                <w:szCs w:val="24"/>
              </w:rPr>
            </w:pPr>
          </w:p>
        </w:tc>
        <w:tc>
          <w:tcPr>
            <w:tcW w:w="1109" w:type="dxa"/>
          </w:tcPr>
          <w:p w:rsidR="00924E0B" w:rsidRDefault="00590916" w:rsidP="00590916">
            <w:pPr>
              <w:jc w:val="center"/>
              <w:rPr>
                <w:rFonts w:ascii="Arial" w:hAnsi="Arial" w:cs="Arial"/>
                <w:sz w:val="24"/>
                <w:szCs w:val="24"/>
              </w:rPr>
            </w:pPr>
            <w:r>
              <w:rPr>
                <w:rFonts w:ascii="Arial" w:hAnsi="Arial" w:cs="Arial"/>
                <w:sz w:val="24"/>
                <w:szCs w:val="24"/>
              </w:rPr>
              <w:t>10</w:t>
            </w:r>
            <w:r w:rsidR="004749C7">
              <w:rPr>
                <w:rFonts w:ascii="Arial" w:hAnsi="Arial" w:cs="Arial"/>
                <w:sz w:val="24"/>
                <w:szCs w:val="24"/>
              </w:rPr>
              <w:t>,</w:t>
            </w:r>
            <w:r>
              <w:rPr>
                <w:rFonts w:ascii="Arial" w:hAnsi="Arial" w:cs="Arial"/>
                <w:sz w:val="24"/>
                <w:szCs w:val="24"/>
              </w:rPr>
              <w:t>217</w:t>
            </w:r>
          </w:p>
        </w:tc>
        <w:tc>
          <w:tcPr>
            <w:tcW w:w="1017" w:type="dxa"/>
          </w:tcPr>
          <w:p w:rsidR="00924E0B" w:rsidRDefault="00590916" w:rsidP="00590916">
            <w:pPr>
              <w:jc w:val="center"/>
              <w:rPr>
                <w:rFonts w:ascii="Arial" w:hAnsi="Arial" w:cs="Arial"/>
                <w:sz w:val="24"/>
                <w:szCs w:val="24"/>
              </w:rPr>
            </w:pPr>
            <w:r>
              <w:rPr>
                <w:rFonts w:ascii="Arial" w:hAnsi="Arial" w:cs="Arial"/>
                <w:sz w:val="24"/>
                <w:szCs w:val="24"/>
              </w:rPr>
              <w:t>10</w:t>
            </w:r>
            <w:r w:rsidR="004749C7">
              <w:rPr>
                <w:rFonts w:ascii="Arial" w:hAnsi="Arial" w:cs="Arial"/>
                <w:sz w:val="24"/>
                <w:szCs w:val="24"/>
              </w:rPr>
              <w:t>,</w:t>
            </w:r>
            <w:r>
              <w:rPr>
                <w:rFonts w:ascii="Arial" w:hAnsi="Arial" w:cs="Arial"/>
                <w:sz w:val="24"/>
                <w:szCs w:val="24"/>
              </w:rPr>
              <w:t>630</w:t>
            </w:r>
          </w:p>
        </w:tc>
        <w:tc>
          <w:tcPr>
            <w:tcW w:w="1331" w:type="dxa"/>
          </w:tcPr>
          <w:p w:rsidR="00924E0B" w:rsidRDefault="00590916" w:rsidP="00590916">
            <w:pPr>
              <w:jc w:val="center"/>
              <w:rPr>
                <w:rFonts w:ascii="Arial" w:hAnsi="Arial" w:cs="Arial"/>
                <w:sz w:val="24"/>
                <w:szCs w:val="24"/>
              </w:rPr>
            </w:pPr>
            <w:r>
              <w:rPr>
                <w:rFonts w:ascii="Arial" w:hAnsi="Arial" w:cs="Arial"/>
                <w:sz w:val="24"/>
                <w:szCs w:val="24"/>
              </w:rPr>
              <w:t>20</w:t>
            </w:r>
            <w:r w:rsidR="004749C7">
              <w:rPr>
                <w:rFonts w:ascii="Arial" w:hAnsi="Arial" w:cs="Arial"/>
                <w:sz w:val="24"/>
                <w:szCs w:val="24"/>
              </w:rPr>
              <w:t>,</w:t>
            </w:r>
            <w:r>
              <w:rPr>
                <w:rFonts w:ascii="Arial" w:hAnsi="Arial" w:cs="Arial"/>
                <w:sz w:val="24"/>
                <w:szCs w:val="24"/>
              </w:rPr>
              <w:t>847</w:t>
            </w:r>
          </w:p>
        </w:tc>
        <w:tc>
          <w:tcPr>
            <w:tcW w:w="1849" w:type="dxa"/>
          </w:tcPr>
          <w:p w:rsidR="00924E0B" w:rsidRDefault="00590916" w:rsidP="00590916">
            <w:pPr>
              <w:jc w:val="center"/>
              <w:rPr>
                <w:rFonts w:ascii="Arial" w:hAnsi="Arial" w:cs="Arial"/>
                <w:sz w:val="24"/>
                <w:szCs w:val="24"/>
              </w:rPr>
            </w:pPr>
            <w:r>
              <w:rPr>
                <w:rFonts w:ascii="Arial" w:hAnsi="Arial" w:cs="Arial"/>
                <w:sz w:val="24"/>
                <w:szCs w:val="24"/>
              </w:rPr>
              <w:t>93.95%</w:t>
            </w:r>
          </w:p>
        </w:tc>
      </w:tr>
      <w:tr w:rsidR="00924E0B" w:rsidTr="00590916">
        <w:tc>
          <w:tcPr>
            <w:tcW w:w="3936" w:type="dxa"/>
            <w:shd w:val="clear" w:color="auto" w:fill="FFFFFF" w:themeFill="background1"/>
          </w:tcPr>
          <w:p w:rsidR="00590916" w:rsidRDefault="00924E0B" w:rsidP="00A420A3">
            <w:pPr>
              <w:rPr>
                <w:rFonts w:ascii="Arial" w:hAnsi="Arial" w:cs="Arial"/>
                <w:sz w:val="24"/>
                <w:szCs w:val="24"/>
              </w:rPr>
            </w:pPr>
            <w:r>
              <w:rPr>
                <w:rFonts w:ascii="Arial" w:hAnsi="Arial" w:cs="Arial"/>
                <w:sz w:val="24"/>
                <w:szCs w:val="24"/>
              </w:rPr>
              <w:t>Black – Caribbean</w:t>
            </w:r>
          </w:p>
          <w:p w:rsidR="00921DF8" w:rsidRDefault="00921DF8" w:rsidP="00A420A3">
            <w:pPr>
              <w:rPr>
                <w:rFonts w:ascii="Arial" w:hAnsi="Arial" w:cs="Arial"/>
                <w:sz w:val="24"/>
                <w:szCs w:val="24"/>
              </w:rPr>
            </w:pPr>
          </w:p>
        </w:tc>
        <w:tc>
          <w:tcPr>
            <w:tcW w:w="1109" w:type="dxa"/>
          </w:tcPr>
          <w:p w:rsidR="00924E0B" w:rsidRDefault="00590916" w:rsidP="00590916">
            <w:pPr>
              <w:jc w:val="center"/>
              <w:rPr>
                <w:rFonts w:ascii="Arial" w:hAnsi="Arial" w:cs="Arial"/>
                <w:sz w:val="24"/>
                <w:szCs w:val="24"/>
              </w:rPr>
            </w:pPr>
            <w:r>
              <w:rPr>
                <w:rFonts w:ascii="Arial" w:hAnsi="Arial" w:cs="Arial"/>
                <w:sz w:val="24"/>
                <w:szCs w:val="24"/>
              </w:rPr>
              <w:t>23</w:t>
            </w:r>
          </w:p>
        </w:tc>
        <w:tc>
          <w:tcPr>
            <w:tcW w:w="1017" w:type="dxa"/>
          </w:tcPr>
          <w:p w:rsidR="00924E0B" w:rsidRDefault="00590916" w:rsidP="00590916">
            <w:pPr>
              <w:jc w:val="center"/>
              <w:rPr>
                <w:rFonts w:ascii="Arial" w:hAnsi="Arial" w:cs="Arial"/>
                <w:sz w:val="24"/>
                <w:szCs w:val="24"/>
              </w:rPr>
            </w:pPr>
            <w:r>
              <w:rPr>
                <w:rFonts w:ascii="Arial" w:hAnsi="Arial" w:cs="Arial"/>
                <w:sz w:val="24"/>
                <w:szCs w:val="24"/>
              </w:rPr>
              <w:t>6</w:t>
            </w:r>
          </w:p>
        </w:tc>
        <w:tc>
          <w:tcPr>
            <w:tcW w:w="1331" w:type="dxa"/>
          </w:tcPr>
          <w:p w:rsidR="00924E0B" w:rsidRDefault="00590916" w:rsidP="00590916">
            <w:pPr>
              <w:jc w:val="center"/>
              <w:rPr>
                <w:rFonts w:ascii="Arial" w:hAnsi="Arial" w:cs="Arial"/>
                <w:sz w:val="24"/>
                <w:szCs w:val="24"/>
              </w:rPr>
            </w:pPr>
            <w:r>
              <w:rPr>
                <w:rFonts w:ascii="Arial" w:hAnsi="Arial" w:cs="Arial"/>
                <w:sz w:val="24"/>
                <w:szCs w:val="24"/>
              </w:rPr>
              <w:t>29</w:t>
            </w:r>
          </w:p>
        </w:tc>
        <w:tc>
          <w:tcPr>
            <w:tcW w:w="1849" w:type="dxa"/>
          </w:tcPr>
          <w:p w:rsidR="00924E0B" w:rsidRDefault="00590916" w:rsidP="00590916">
            <w:pPr>
              <w:jc w:val="center"/>
              <w:rPr>
                <w:rFonts w:ascii="Arial" w:hAnsi="Arial" w:cs="Arial"/>
                <w:sz w:val="24"/>
                <w:szCs w:val="24"/>
              </w:rPr>
            </w:pPr>
            <w:r>
              <w:rPr>
                <w:rFonts w:ascii="Arial" w:hAnsi="Arial" w:cs="Arial"/>
                <w:sz w:val="24"/>
                <w:szCs w:val="24"/>
              </w:rPr>
              <w:t>0.13%</w:t>
            </w:r>
          </w:p>
        </w:tc>
      </w:tr>
      <w:tr w:rsidR="00924E0B" w:rsidTr="00590916">
        <w:tc>
          <w:tcPr>
            <w:tcW w:w="3936" w:type="dxa"/>
            <w:shd w:val="clear" w:color="auto" w:fill="FFFFFF" w:themeFill="background1"/>
          </w:tcPr>
          <w:p w:rsidR="00590916" w:rsidRDefault="00924E0B" w:rsidP="00A420A3">
            <w:pPr>
              <w:rPr>
                <w:rFonts w:ascii="Arial" w:hAnsi="Arial" w:cs="Arial"/>
                <w:sz w:val="24"/>
                <w:szCs w:val="24"/>
              </w:rPr>
            </w:pPr>
            <w:r>
              <w:rPr>
                <w:rFonts w:ascii="Arial" w:hAnsi="Arial" w:cs="Arial"/>
                <w:sz w:val="24"/>
                <w:szCs w:val="24"/>
              </w:rPr>
              <w:t>Black – African</w:t>
            </w:r>
          </w:p>
          <w:p w:rsidR="00921DF8" w:rsidRDefault="00921DF8" w:rsidP="00A420A3">
            <w:pPr>
              <w:rPr>
                <w:rFonts w:ascii="Arial" w:hAnsi="Arial" w:cs="Arial"/>
                <w:sz w:val="24"/>
                <w:szCs w:val="24"/>
              </w:rPr>
            </w:pPr>
          </w:p>
        </w:tc>
        <w:tc>
          <w:tcPr>
            <w:tcW w:w="1109" w:type="dxa"/>
          </w:tcPr>
          <w:p w:rsidR="00924E0B" w:rsidRDefault="00590916" w:rsidP="00590916">
            <w:pPr>
              <w:jc w:val="center"/>
              <w:rPr>
                <w:rFonts w:ascii="Arial" w:hAnsi="Arial" w:cs="Arial"/>
                <w:sz w:val="24"/>
                <w:szCs w:val="24"/>
              </w:rPr>
            </w:pPr>
            <w:r>
              <w:rPr>
                <w:rFonts w:ascii="Arial" w:hAnsi="Arial" w:cs="Arial"/>
                <w:sz w:val="24"/>
                <w:szCs w:val="24"/>
              </w:rPr>
              <w:t>5</w:t>
            </w:r>
          </w:p>
        </w:tc>
        <w:tc>
          <w:tcPr>
            <w:tcW w:w="1017" w:type="dxa"/>
          </w:tcPr>
          <w:p w:rsidR="00924E0B" w:rsidRDefault="00590916" w:rsidP="00590916">
            <w:pPr>
              <w:jc w:val="center"/>
              <w:rPr>
                <w:rFonts w:ascii="Arial" w:hAnsi="Arial" w:cs="Arial"/>
                <w:sz w:val="24"/>
                <w:szCs w:val="24"/>
              </w:rPr>
            </w:pPr>
            <w:r>
              <w:rPr>
                <w:rFonts w:ascii="Arial" w:hAnsi="Arial" w:cs="Arial"/>
                <w:sz w:val="24"/>
                <w:szCs w:val="24"/>
              </w:rPr>
              <w:t>6</w:t>
            </w:r>
          </w:p>
        </w:tc>
        <w:tc>
          <w:tcPr>
            <w:tcW w:w="1331" w:type="dxa"/>
          </w:tcPr>
          <w:p w:rsidR="00924E0B" w:rsidRDefault="00590916" w:rsidP="00590916">
            <w:pPr>
              <w:jc w:val="center"/>
              <w:rPr>
                <w:rFonts w:ascii="Arial" w:hAnsi="Arial" w:cs="Arial"/>
                <w:sz w:val="24"/>
                <w:szCs w:val="24"/>
              </w:rPr>
            </w:pPr>
            <w:r>
              <w:rPr>
                <w:rFonts w:ascii="Arial" w:hAnsi="Arial" w:cs="Arial"/>
                <w:sz w:val="24"/>
                <w:szCs w:val="24"/>
              </w:rPr>
              <w:t>11</w:t>
            </w:r>
          </w:p>
        </w:tc>
        <w:tc>
          <w:tcPr>
            <w:tcW w:w="1849" w:type="dxa"/>
          </w:tcPr>
          <w:p w:rsidR="00924E0B" w:rsidRDefault="00590916" w:rsidP="00590916">
            <w:pPr>
              <w:jc w:val="center"/>
              <w:rPr>
                <w:rFonts w:ascii="Arial" w:hAnsi="Arial" w:cs="Arial"/>
                <w:sz w:val="24"/>
                <w:szCs w:val="24"/>
              </w:rPr>
            </w:pPr>
            <w:r>
              <w:rPr>
                <w:rFonts w:ascii="Arial" w:hAnsi="Arial" w:cs="Arial"/>
                <w:sz w:val="24"/>
                <w:szCs w:val="24"/>
              </w:rPr>
              <w:t>0.05%</w:t>
            </w:r>
          </w:p>
        </w:tc>
      </w:tr>
      <w:tr w:rsidR="00924E0B" w:rsidTr="00590916">
        <w:tc>
          <w:tcPr>
            <w:tcW w:w="3936" w:type="dxa"/>
            <w:shd w:val="clear" w:color="auto" w:fill="FFFFFF" w:themeFill="background1"/>
          </w:tcPr>
          <w:p w:rsidR="00590916" w:rsidRDefault="00590916" w:rsidP="00A420A3">
            <w:pPr>
              <w:rPr>
                <w:rFonts w:ascii="Arial" w:hAnsi="Arial" w:cs="Arial"/>
                <w:sz w:val="24"/>
                <w:szCs w:val="24"/>
              </w:rPr>
            </w:pPr>
            <w:r>
              <w:rPr>
                <w:rFonts w:ascii="Arial" w:hAnsi="Arial" w:cs="Arial"/>
                <w:sz w:val="24"/>
                <w:szCs w:val="24"/>
              </w:rPr>
              <w:t>Other Black B</w:t>
            </w:r>
            <w:r w:rsidR="00924E0B">
              <w:rPr>
                <w:rFonts w:ascii="Arial" w:hAnsi="Arial" w:cs="Arial"/>
                <w:sz w:val="24"/>
                <w:szCs w:val="24"/>
              </w:rPr>
              <w:t>ackground</w:t>
            </w:r>
          </w:p>
          <w:p w:rsidR="00921DF8" w:rsidRDefault="00921DF8" w:rsidP="00A420A3">
            <w:pPr>
              <w:rPr>
                <w:rFonts w:ascii="Arial" w:hAnsi="Arial" w:cs="Arial"/>
                <w:sz w:val="24"/>
                <w:szCs w:val="24"/>
              </w:rPr>
            </w:pPr>
          </w:p>
        </w:tc>
        <w:tc>
          <w:tcPr>
            <w:tcW w:w="1109" w:type="dxa"/>
          </w:tcPr>
          <w:p w:rsidR="00924E0B" w:rsidRDefault="00590916" w:rsidP="00590916">
            <w:pPr>
              <w:jc w:val="center"/>
              <w:rPr>
                <w:rFonts w:ascii="Arial" w:hAnsi="Arial" w:cs="Arial"/>
                <w:sz w:val="24"/>
                <w:szCs w:val="24"/>
              </w:rPr>
            </w:pPr>
            <w:r>
              <w:rPr>
                <w:rFonts w:ascii="Arial" w:hAnsi="Arial" w:cs="Arial"/>
                <w:sz w:val="24"/>
                <w:szCs w:val="24"/>
              </w:rPr>
              <w:t>1</w:t>
            </w:r>
          </w:p>
        </w:tc>
        <w:tc>
          <w:tcPr>
            <w:tcW w:w="1017" w:type="dxa"/>
          </w:tcPr>
          <w:p w:rsidR="00924E0B" w:rsidRDefault="00590916" w:rsidP="00590916">
            <w:pPr>
              <w:jc w:val="center"/>
              <w:rPr>
                <w:rFonts w:ascii="Arial" w:hAnsi="Arial" w:cs="Arial"/>
                <w:sz w:val="24"/>
                <w:szCs w:val="24"/>
              </w:rPr>
            </w:pPr>
            <w:r>
              <w:rPr>
                <w:rFonts w:ascii="Arial" w:hAnsi="Arial" w:cs="Arial"/>
                <w:sz w:val="24"/>
                <w:szCs w:val="24"/>
              </w:rPr>
              <w:t>2</w:t>
            </w:r>
          </w:p>
        </w:tc>
        <w:tc>
          <w:tcPr>
            <w:tcW w:w="1331" w:type="dxa"/>
          </w:tcPr>
          <w:p w:rsidR="00924E0B" w:rsidRDefault="00590916" w:rsidP="00590916">
            <w:pPr>
              <w:jc w:val="center"/>
              <w:rPr>
                <w:rFonts w:ascii="Arial" w:hAnsi="Arial" w:cs="Arial"/>
                <w:sz w:val="24"/>
                <w:szCs w:val="24"/>
              </w:rPr>
            </w:pPr>
            <w:r>
              <w:rPr>
                <w:rFonts w:ascii="Arial" w:hAnsi="Arial" w:cs="Arial"/>
                <w:sz w:val="24"/>
                <w:szCs w:val="24"/>
              </w:rPr>
              <w:t>3</w:t>
            </w:r>
          </w:p>
        </w:tc>
        <w:tc>
          <w:tcPr>
            <w:tcW w:w="1849" w:type="dxa"/>
          </w:tcPr>
          <w:p w:rsidR="00924E0B" w:rsidRDefault="00590916" w:rsidP="00590916">
            <w:pPr>
              <w:jc w:val="center"/>
              <w:rPr>
                <w:rFonts w:ascii="Arial" w:hAnsi="Arial" w:cs="Arial"/>
                <w:sz w:val="24"/>
                <w:szCs w:val="24"/>
              </w:rPr>
            </w:pPr>
            <w:r>
              <w:rPr>
                <w:rFonts w:ascii="Arial" w:hAnsi="Arial" w:cs="Arial"/>
                <w:sz w:val="24"/>
                <w:szCs w:val="24"/>
              </w:rPr>
              <w:t>0.01%</w:t>
            </w:r>
          </w:p>
        </w:tc>
      </w:tr>
      <w:tr w:rsidR="00924E0B" w:rsidTr="00590916">
        <w:tc>
          <w:tcPr>
            <w:tcW w:w="3936" w:type="dxa"/>
            <w:shd w:val="clear" w:color="auto" w:fill="FFFFFF" w:themeFill="background1"/>
          </w:tcPr>
          <w:p w:rsidR="00590916" w:rsidRDefault="00924E0B" w:rsidP="00A420A3">
            <w:pPr>
              <w:rPr>
                <w:rFonts w:ascii="Arial" w:hAnsi="Arial" w:cs="Arial"/>
                <w:sz w:val="24"/>
                <w:szCs w:val="24"/>
              </w:rPr>
            </w:pPr>
            <w:r>
              <w:rPr>
                <w:rFonts w:ascii="Arial" w:hAnsi="Arial" w:cs="Arial"/>
                <w:sz w:val="24"/>
                <w:szCs w:val="24"/>
              </w:rPr>
              <w:t>Asian – Indian</w:t>
            </w:r>
          </w:p>
          <w:p w:rsidR="00921DF8" w:rsidRDefault="00921DF8" w:rsidP="00A420A3">
            <w:pPr>
              <w:rPr>
                <w:rFonts w:ascii="Arial" w:hAnsi="Arial" w:cs="Arial"/>
                <w:sz w:val="24"/>
                <w:szCs w:val="24"/>
              </w:rPr>
            </w:pPr>
          </w:p>
        </w:tc>
        <w:tc>
          <w:tcPr>
            <w:tcW w:w="1109" w:type="dxa"/>
          </w:tcPr>
          <w:p w:rsidR="00924E0B" w:rsidRDefault="00590916" w:rsidP="00590916">
            <w:pPr>
              <w:jc w:val="center"/>
              <w:rPr>
                <w:rFonts w:ascii="Arial" w:hAnsi="Arial" w:cs="Arial"/>
                <w:sz w:val="24"/>
                <w:szCs w:val="24"/>
              </w:rPr>
            </w:pPr>
            <w:r>
              <w:rPr>
                <w:rFonts w:ascii="Arial" w:hAnsi="Arial" w:cs="Arial"/>
                <w:sz w:val="24"/>
                <w:szCs w:val="24"/>
              </w:rPr>
              <w:t>10</w:t>
            </w:r>
          </w:p>
        </w:tc>
        <w:tc>
          <w:tcPr>
            <w:tcW w:w="1017" w:type="dxa"/>
          </w:tcPr>
          <w:p w:rsidR="00924E0B" w:rsidRDefault="00590916" w:rsidP="00590916">
            <w:pPr>
              <w:jc w:val="center"/>
              <w:rPr>
                <w:rFonts w:ascii="Arial" w:hAnsi="Arial" w:cs="Arial"/>
                <w:sz w:val="24"/>
                <w:szCs w:val="24"/>
              </w:rPr>
            </w:pPr>
            <w:r>
              <w:rPr>
                <w:rFonts w:ascii="Arial" w:hAnsi="Arial" w:cs="Arial"/>
                <w:sz w:val="24"/>
                <w:szCs w:val="24"/>
              </w:rPr>
              <w:t>21</w:t>
            </w:r>
          </w:p>
        </w:tc>
        <w:tc>
          <w:tcPr>
            <w:tcW w:w="1331" w:type="dxa"/>
          </w:tcPr>
          <w:p w:rsidR="00924E0B" w:rsidRDefault="00590916" w:rsidP="00590916">
            <w:pPr>
              <w:jc w:val="center"/>
              <w:rPr>
                <w:rFonts w:ascii="Arial" w:hAnsi="Arial" w:cs="Arial"/>
                <w:sz w:val="24"/>
                <w:szCs w:val="24"/>
              </w:rPr>
            </w:pPr>
            <w:r>
              <w:rPr>
                <w:rFonts w:ascii="Arial" w:hAnsi="Arial" w:cs="Arial"/>
                <w:sz w:val="24"/>
                <w:szCs w:val="24"/>
              </w:rPr>
              <w:t>31</w:t>
            </w:r>
          </w:p>
        </w:tc>
        <w:tc>
          <w:tcPr>
            <w:tcW w:w="1849" w:type="dxa"/>
          </w:tcPr>
          <w:p w:rsidR="00924E0B" w:rsidRDefault="00590916" w:rsidP="00590916">
            <w:pPr>
              <w:jc w:val="center"/>
              <w:rPr>
                <w:rFonts w:ascii="Arial" w:hAnsi="Arial" w:cs="Arial"/>
                <w:sz w:val="24"/>
                <w:szCs w:val="24"/>
              </w:rPr>
            </w:pPr>
            <w:r>
              <w:rPr>
                <w:rFonts w:ascii="Arial" w:hAnsi="Arial" w:cs="Arial"/>
                <w:sz w:val="24"/>
                <w:szCs w:val="24"/>
              </w:rPr>
              <w:t>0.14%</w:t>
            </w:r>
          </w:p>
        </w:tc>
      </w:tr>
      <w:tr w:rsidR="00924E0B" w:rsidTr="00590916">
        <w:tc>
          <w:tcPr>
            <w:tcW w:w="3936" w:type="dxa"/>
            <w:shd w:val="clear" w:color="auto" w:fill="FFFFFF" w:themeFill="background1"/>
          </w:tcPr>
          <w:p w:rsidR="00590916" w:rsidRDefault="00924E0B" w:rsidP="00A420A3">
            <w:pPr>
              <w:rPr>
                <w:rFonts w:ascii="Arial" w:hAnsi="Arial" w:cs="Arial"/>
                <w:sz w:val="24"/>
                <w:szCs w:val="24"/>
              </w:rPr>
            </w:pPr>
            <w:r>
              <w:rPr>
                <w:rFonts w:ascii="Arial" w:hAnsi="Arial" w:cs="Arial"/>
                <w:sz w:val="24"/>
                <w:szCs w:val="24"/>
              </w:rPr>
              <w:t>Asian – Pakistani</w:t>
            </w:r>
          </w:p>
          <w:p w:rsidR="00921DF8" w:rsidRDefault="00921DF8" w:rsidP="00A420A3">
            <w:pPr>
              <w:rPr>
                <w:rFonts w:ascii="Arial" w:hAnsi="Arial" w:cs="Arial"/>
                <w:sz w:val="24"/>
                <w:szCs w:val="24"/>
              </w:rPr>
            </w:pPr>
          </w:p>
        </w:tc>
        <w:tc>
          <w:tcPr>
            <w:tcW w:w="1109" w:type="dxa"/>
          </w:tcPr>
          <w:p w:rsidR="00924E0B" w:rsidRDefault="00590916" w:rsidP="00590916">
            <w:pPr>
              <w:jc w:val="center"/>
              <w:rPr>
                <w:rFonts w:ascii="Arial" w:hAnsi="Arial" w:cs="Arial"/>
                <w:sz w:val="24"/>
                <w:szCs w:val="24"/>
              </w:rPr>
            </w:pPr>
            <w:r>
              <w:rPr>
                <w:rFonts w:ascii="Arial" w:hAnsi="Arial" w:cs="Arial"/>
                <w:sz w:val="24"/>
                <w:szCs w:val="24"/>
              </w:rPr>
              <w:t>14</w:t>
            </w:r>
          </w:p>
        </w:tc>
        <w:tc>
          <w:tcPr>
            <w:tcW w:w="1017" w:type="dxa"/>
          </w:tcPr>
          <w:p w:rsidR="00924E0B" w:rsidRDefault="00590916" w:rsidP="00590916">
            <w:pPr>
              <w:jc w:val="center"/>
              <w:rPr>
                <w:rFonts w:ascii="Arial" w:hAnsi="Arial" w:cs="Arial"/>
                <w:sz w:val="24"/>
                <w:szCs w:val="24"/>
              </w:rPr>
            </w:pPr>
            <w:r>
              <w:rPr>
                <w:rFonts w:ascii="Arial" w:hAnsi="Arial" w:cs="Arial"/>
                <w:sz w:val="24"/>
                <w:szCs w:val="24"/>
              </w:rPr>
              <w:t>7</w:t>
            </w:r>
          </w:p>
        </w:tc>
        <w:tc>
          <w:tcPr>
            <w:tcW w:w="1331" w:type="dxa"/>
          </w:tcPr>
          <w:p w:rsidR="00924E0B" w:rsidRDefault="00590916" w:rsidP="00590916">
            <w:pPr>
              <w:jc w:val="center"/>
              <w:rPr>
                <w:rFonts w:ascii="Arial" w:hAnsi="Arial" w:cs="Arial"/>
                <w:sz w:val="24"/>
                <w:szCs w:val="24"/>
              </w:rPr>
            </w:pPr>
            <w:r>
              <w:rPr>
                <w:rFonts w:ascii="Arial" w:hAnsi="Arial" w:cs="Arial"/>
                <w:sz w:val="24"/>
                <w:szCs w:val="24"/>
              </w:rPr>
              <w:t>21</w:t>
            </w:r>
          </w:p>
        </w:tc>
        <w:tc>
          <w:tcPr>
            <w:tcW w:w="1849" w:type="dxa"/>
          </w:tcPr>
          <w:p w:rsidR="00924E0B" w:rsidRDefault="00590916" w:rsidP="00590916">
            <w:pPr>
              <w:jc w:val="center"/>
              <w:rPr>
                <w:rFonts w:ascii="Arial" w:hAnsi="Arial" w:cs="Arial"/>
                <w:sz w:val="24"/>
                <w:szCs w:val="24"/>
              </w:rPr>
            </w:pPr>
            <w:r>
              <w:rPr>
                <w:rFonts w:ascii="Arial" w:hAnsi="Arial" w:cs="Arial"/>
                <w:sz w:val="24"/>
                <w:szCs w:val="24"/>
              </w:rPr>
              <w:t>0.09%</w:t>
            </w:r>
          </w:p>
        </w:tc>
      </w:tr>
      <w:tr w:rsidR="00924E0B" w:rsidTr="00590916">
        <w:tc>
          <w:tcPr>
            <w:tcW w:w="3936" w:type="dxa"/>
            <w:shd w:val="clear" w:color="auto" w:fill="FFFFFF" w:themeFill="background1"/>
          </w:tcPr>
          <w:p w:rsidR="00590916" w:rsidRDefault="00924E0B" w:rsidP="00A420A3">
            <w:pPr>
              <w:rPr>
                <w:rFonts w:ascii="Arial" w:hAnsi="Arial" w:cs="Arial"/>
                <w:sz w:val="24"/>
                <w:szCs w:val="24"/>
              </w:rPr>
            </w:pPr>
            <w:r>
              <w:rPr>
                <w:rFonts w:ascii="Arial" w:hAnsi="Arial" w:cs="Arial"/>
                <w:sz w:val="24"/>
                <w:szCs w:val="24"/>
              </w:rPr>
              <w:t>Asian – Bangladeshi</w:t>
            </w:r>
          </w:p>
          <w:p w:rsidR="00921DF8" w:rsidRDefault="00921DF8" w:rsidP="00A420A3">
            <w:pPr>
              <w:rPr>
                <w:rFonts w:ascii="Arial" w:hAnsi="Arial" w:cs="Arial"/>
                <w:sz w:val="24"/>
                <w:szCs w:val="24"/>
              </w:rPr>
            </w:pPr>
          </w:p>
        </w:tc>
        <w:tc>
          <w:tcPr>
            <w:tcW w:w="1109" w:type="dxa"/>
          </w:tcPr>
          <w:p w:rsidR="00924E0B" w:rsidRDefault="00590916" w:rsidP="00590916">
            <w:pPr>
              <w:jc w:val="center"/>
              <w:rPr>
                <w:rFonts w:ascii="Arial" w:hAnsi="Arial" w:cs="Arial"/>
                <w:sz w:val="24"/>
                <w:szCs w:val="24"/>
              </w:rPr>
            </w:pPr>
            <w:r>
              <w:rPr>
                <w:rFonts w:ascii="Arial" w:hAnsi="Arial" w:cs="Arial"/>
                <w:sz w:val="24"/>
                <w:szCs w:val="24"/>
              </w:rPr>
              <w:t>32</w:t>
            </w:r>
          </w:p>
        </w:tc>
        <w:tc>
          <w:tcPr>
            <w:tcW w:w="1017" w:type="dxa"/>
          </w:tcPr>
          <w:p w:rsidR="00924E0B" w:rsidRDefault="00590916" w:rsidP="00590916">
            <w:pPr>
              <w:jc w:val="center"/>
              <w:rPr>
                <w:rFonts w:ascii="Arial" w:hAnsi="Arial" w:cs="Arial"/>
                <w:sz w:val="24"/>
                <w:szCs w:val="24"/>
              </w:rPr>
            </w:pPr>
            <w:r>
              <w:rPr>
                <w:rFonts w:ascii="Arial" w:hAnsi="Arial" w:cs="Arial"/>
                <w:sz w:val="24"/>
                <w:szCs w:val="24"/>
              </w:rPr>
              <w:t>64</w:t>
            </w:r>
          </w:p>
        </w:tc>
        <w:tc>
          <w:tcPr>
            <w:tcW w:w="1331" w:type="dxa"/>
          </w:tcPr>
          <w:p w:rsidR="00924E0B" w:rsidRDefault="00590916" w:rsidP="00590916">
            <w:pPr>
              <w:jc w:val="center"/>
              <w:rPr>
                <w:rFonts w:ascii="Arial" w:hAnsi="Arial" w:cs="Arial"/>
                <w:sz w:val="24"/>
                <w:szCs w:val="24"/>
              </w:rPr>
            </w:pPr>
            <w:r>
              <w:rPr>
                <w:rFonts w:ascii="Arial" w:hAnsi="Arial" w:cs="Arial"/>
                <w:sz w:val="24"/>
                <w:szCs w:val="24"/>
              </w:rPr>
              <w:t>96</w:t>
            </w:r>
          </w:p>
        </w:tc>
        <w:tc>
          <w:tcPr>
            <w:tcW w:w="1849" w:type="dxa"/>
          </w:tcPr>
          <w:p w:rsidR="00924E0B" w:rsidRDefault="00590916" w:rsidP="00590916">
            <w:pPr>
              <w:jc w:val="center"/>
              <w:rPr>
                <w:rFonts w:ascii="Arial" w:hAnsi="Arial" w:cs="Arial"/>
                <w:sz w:val="24"/>
                <w:szCs w:val="24"/>
              </w:rPr>
            </w:pPr>
            <w:r>
              <w:rPr>
                <w:rFonts w:ascii="Arial" w:hAnsi="Arial" w:cs="Arial"/>
                <w:sz w:val="24"/>
                <w:szCs w:val="24"/>
              </w:rPr>
              <w:t>0.43%</w:t>
            </w:r>
          </w:p>
        </w:tc>
      </w:tr>
      <w:tr w:rsidR="00924E0B" w:rsidTr="00590916">
        <w:tc>
          <w:tcPr>
            <w:tcW w:w="3936" w:type="dxa"/>
            <w:shd w:val="clear" w:color="auto" w:fill="FFFFFF" w:themeFill="background1"/>
          </w:tcPr>
          <w:p w:rsidR="00590916" w:rsidRDefault="00924E0B" w:rsidP="00A420A3">
            <w:pPr>
              <w:rPr>
                <w:rFonts w:ascii="Arial" w:hAnsi="Arial" w:cs="Arial"/>
                <w:sz w:val="24"/>
                <w:szCs w:val="24"/>
              </w:rPr>
            </w:pPr>
            <w:r>
              <w:rPr>
                <w:rFonts w:ascii="Arial" w:hAnsi="Arial" w:cs="Arial"/>
                <w:sz w:val="24"/>
                <w:szCs w:val="24"/>
              </w:rPr>
              <w:t>Chinese</w:t>
            </w:r>
          </w:p>
          <w:p w:rsidR="00921DF8" w:rsidRDefault="00921DF8" w:rsidP="00A420A3">
            <w:pPr>
              <w:rPr>
                <w:rFonts w:ascii="Arial" w:hAnsi="Arial" w:cs="Arial"/>
                <w:sz w:val="24"/>
                <w:szCs w:val="24"/>
              </w:rPr>
            </w:pPr>
          </w:p>
        </w:tc>
        <w:tc>
          <w:tcPr>
            <w:tcW w:w="1109" w:type="dxa"/>
          </w:tcPr>
          <w:p w:rsidR="00924E0B" w:rsidRDefault="00590916" w:rsidP="00590916">
            <w:pPr>
              <w:jc w:val="center"/>
              <w:rPr>
                <w:rFonts w:ascii="Arial" w:hAnsi="Arial" w:cs="Arial"/>
                <w:sz w:val="24"/>
                <w:szCs w:val="24"/>
              </w:rPr>
            </w:pPr>
            <w:r>
              <w:rPr>
                <w:rFonts w:ascii="Arial" w:hAnsi="Arial" w:cs="Arial"/>
                <w:sz w:val="24"/>
                <w:szCs w:val="24"/>
              </w:rPr>
              <w:t>11</w:t>
            </w:r>
          </w:p>
        </w:tc>
        <w:tc>
          <w:tcPr>
            <w:tcW w:w="1017" w:type="dxa"/>
          </w:tcPr>
          <w:p w:rsidR="00924E0B" w:rsidRDefault="00590916" w:rsidP="00590916">
            <w:pPr>
              <w:jc w:val="center"/>
              <w:rPr>
                <w:rFonts w:ascii="Arial" w:hAnsi="Arial" w:cs="Arial"/>
                <w:sz w:val="24"/>
                <w:szCs w:val="24"/>
              </w:rPr>
            </w:pPr>
            <w:r>
              <w:rPr>
                <w:rFonts w:ascii="Arial" w:hAnsi="Arial" w:cs="Arial"/>
                <w:sz w:val="24"/>
                <w:szCs w:val="24"/>
              </w:rPr>
              <w:t>17</w:t>
            </w:r>
          </w:p>
        </w:tc>
        <w:tc>
          <w:tcPr>
            <w:tcW w:w="1331" w:type="dxa"/>
          </w:tcPr>
          <w:p w:rsidR="00924E0B" w:rsidRDefault="00590916" w:rsidP="00590916">
            <w:pPr>
              <w:jc w:val="center"/>
              <w:rPr>
                <w:rFonts w:ascii="Arial" w:hAnsi="Arial" w:cs="Arial"/>
                <w:sz w:val="24"/>
                <w:szCs w:val="24"/>
              </w:rPr>
            </w:pPr>
            <w:r>
              <w:rPr>
                <w:rFonts w:ascii="Arial" w:hAnsi="Arial" w:cs="Arial"/>
                <w:sz w:val="24"/>
                <w:szCs w:val="24"/>
              </w:rPr>
              <w:t>28</w:t>
            </w:r>
          </w:p>
        </w:tc>
        <w:tc>
          <w:tcPr>
            <w:tcW w:w="1849" w:type="dxa"/>
          </w:tcPr>
          <w:p w:rsidR="00924E0B" w:rsidRDefault="00590916" w:rsidP="00590916">
            <w:pPr>
              <w:jc w:val="center"/>
              <w:rPr>
                <w:rFonts w:ascii="Arial" w:hAnsi="Arial" w:cs="Arial"/>
                <w:sz w:val="24"/>
                <w:szCs w:val="24"/>
              </w:rPr>
            </w:pPr>
            <w:r>
              <w:rPr>
                <w:rFonts w:ascii="Arial" w:hAnsi="Arial" w:cs="Arial"/>
                <w:sz w:val="24"/>
                <w:szCs w:val="24"/>
              </w:rPr>
              <w:t>0.13%</w:t>
            </w:r>
          </w:p>
        </w:tc>
      </w:tr>
      <w:tr w:rsidR="00924E0B" w:rsidTr="00590916">
        <w:tc>
          <w:tcPr>
            <w:tcW w:w="3936" w:type="dxa"/>
            <w:shd w:val="clear" w:color="auto" w:fill="FFFFFF" w:themeFill="background1"/>
          </w:tcPr>
          <w:p w:rsidR="00590916" w:rsidRDefault="00590916" w:rsidP="00A420A3">
            <w:pPr>
              <w:rPr>
                <w:rFonts w:ascii="Arial" w:hAnsi="Arial" w:cs="Arial"/>
                <w:sz w:val="24"/>
                <w:szCs w:val="24"/>
              </w:rPr>
            </w:pPr>
            <w:r>
              <w:rPr>
                <w:rFonts w:ascii="Arial" w:hAnsi="Arial" w:cs="Arial"/>
                <w:sz w:val="24"/>
                <w:szCs w:val="24"/>
              </w:rPr>
              <w:t>Other Asian B</w:t>
            </w:r>
            <w:r w:rsidR="00924E0B">
              <w:rPr>
                <w:rFonts w:ascii="Arial" w:hAnsi="Arial" w:cs="Arial"/>
                <w:sz w:val="24"/>
                <w:szCs w:val="24"/>
              </w:rPr>
              <w:t>ackground</w:t>
            </w:r>
          </w:p>
          <w:p w:rsidR="00921DF8" w:rsidRDefault="00921DF8" w:rsidP="00A420A3">
            <w:pPr>
              <w:rPr>
                <w:rFonts w:ascii="Arial" w:hAnsi="Arial" w:cs="Arial"/>
                <w:sz w:val="24"/>
                <w:szCs w:val="24"/>
              </w:rPr>
            </w:pPr>
          </w:p>
        </w:tc>
        <w:tc>
          <w:tcPr>
            <w:tcW w:w="1109" w:type="dxa"/>
          </w:tcPr>
          <w:p w:rsidR="00924E0B" w:rsidRDefault="00590916" w:rsidP="00590916">
            <w:pPr>
              <w:jc w:val="center"/>
              <w:rPr>
                <w:rFonts w:ascii="Arial" w:hAnsi="Arial" w:cs="Arial"/>
                <w:sz w:val="24"/>
                <w:szCs w:val="24"/>
              </w:rPr>
            </w:pPr>
            <w:r>
              <w:rPr>
                <w:rFonts w:ascii="Arial" w:hAnsi="Arial" w:cs="Arial"/>
                <w:sz w:val="24"/>
                <w:szCs w:val="24"/>
              </w:rPr>
              <w:t>38</w:t>
            </w:r>
          </w:p>
        </w:tc>
        <w:tc>
          <w:tcPr>
            <w:tcW w:w="1017" w:type="dxa"/>
          </w:tcPr>
          <w:p w:rsidR="00924E0B" w:rsidRDefault="00590916" w:rsidP="00590916">
            <w:pPr>
              <w:jc w:val="center"/>
              <w:rPr>
                <w:rFonts w:ascii="Arial" w:hAnsi="Arial" w:cs="Arial"/>
                <w:sz w:val="24"/>
                <w:szCs w:val="24"/>
              </w:rPr>
            </w:pPr>
            <w:r>
              <w:rPr>
                <w:rFonts w:ascii="Arial" w:hAnsi="Arial" w:cs="Arial"/>
                <w:sz w:val="24"/>
                <w:szCs w:val="24"/>
              </w:rPr>
              <w:t>90</w:t>
            </w:r>
          </w:p>
        </w:tc>
        <w:tc>
          <w:tcPr>
            <w:tcW w:w="1331" w:type="dxa"/>
          </w:tcPr>
          <w:p w:rsidR="00924E0B" w:rsidRDefault="00590916" w:rsidP="00590916">
            <w:pPr>
              <w:jc w:val="center"/>
              <w:rPr>
                <w:rFonts w:ascii="Arial" w:hAnsi="Arial" w:cs="Arial"/>
                <w:sz w:val="24"/>
                <w:szCs w:val="24"/>
              </w:rPr>
            </w:pPr>
            <w:r>
              <w:rPr>
                <w:rFonts w:ascii="Arial" w:hAnsi="Arial" w:cs="Arial"/>
                <w:sz w:val="24"/>
                <w:szCs w:val="24"/>
              </w:rPr>
              <w:t>128</w:t>
            </w:r>
          </w:p>
        </w:tc>
        <w:tc>
          <w:tcPr>
            <w:tcW w:w="1849" w:type="dxa"/>
          </w:tcPr>
          <w:p w:rsidR="00924E0B" w:rsidRDefault="00590916" w:rsidP="00590916">
            <w:pPr>
              <w:jc w:val="center"/>
              <w:rPr>
                <w:rFonts w:ascii="Arial" w:hAnsi="Arial" w:cs="Arial"/>
                <w:sz w:val="24"/>
                <w:szCs w:val="24"/>
              </w:rPr>
            </w:pPr>
            <w:r>
              <w:rPr>
                <w:rFonts w:ascii="Arial" w:hAnsi="Arial" w:cs="Arial"/>
                <w:sz w:val="24"/>
                <w:szCs w:val="24"/>
              </w:rPr>
              <w:t>0.58%</w:t>
            </w:r>
          </w:p>
        </w:tc>
      </w:tr>
      <w:tr w:rsidR="00924E0B" w:rsidTr="00590916">
        <w:tc>
          <w:tcPr>
            <w:tcW w:w="3936" w:type="dxa"/>
            <w:shd w:val="clear" w:color="auto" w:fill="FFFFFF" w:themeFill="background1"/>
          </w:tcPr>
          <w:p w:rsidR="00590916" w:rsidRDefault="00924E0B" w:rsidP="00A420A3">
            <w:pPr>
              <w:rPr>
                <w:rFonts w:ascii="Arial" w:hAnsi="Arial" w:cs="Arial"/>
                <w:sz w:val="24"/>
                <w:szCs w:val="24"/>
              </w:rPr>
            </w:pPr>
            <w:r>
              <w:rPr>
                <w:rFonts w:ascii="Arial" w:hAnsi="Arial" w:cs="Arial"/>
                <w:sz w:val="24"/>
                <w:szCs w:val="24"/>
              </w:rPr>
              <w:t>Mixed – White&amp; Black Caribbean</w:t>
            </w:r>
          </w:p>
          <w:p w:rsidR="00921DF8" w:rsidRDefault="00921DF8" w:rsidP="00A420A3">
            <w:pPr>
              <w:rPr>
                <w:rFonts w:ascii="Arial" w:hAnsi="Arial" w:cs="Arial"/>
                <w:sz w:val="24"/>
                <w:szCs w:val="24"/>
              </w:rPr>
            </w:pPr>
          </w:p>
        </w:tc>
        <w:tc>
          <w:tcPr>
            <w:tcW w:w="1109" w:type="dxa"/>
          </w:tcPr>
          <w:p w:rsidR="00924E0B" w:rsidRDefault="00590916" w:rsidP="00590916">
            <w:pPr>
              <w:jc w:val="center"/>
              <w:rPr>
                <w:rFonts w:ascii="Arial" w:hAnsi="Arial" w:cs="Arial"/>
                <w:sz w:val="24"/>
                <w:szCs w:val="24"/>
              </w:rPr>
            </w:pPr>
            <w:r>
              <w:rPr>
                <w:rFonts w:ascii="Arial" w:hAnsi="Arial" w:cs="Arial"/>
                <w:sz w:val="24"/>
                <w:szCs w:val="24"/>
              </w:rPr>
              <w:t>21</w:t>
            </w:r>
          </w:p>
        </w:tc>
        <w:tc>
          <w:tcPr>
            <w:tcW w:w="1017" w:type="dxa"/>
          </w:tcPr>
          <w:p w:rsidR="00924E0B" w:rsidRDefault="00590916" w:rsidP="00590916">
            <w:pPr>
              <w:jc w:val="center"/>
              <w:rPr>
                <w:rFonts w:ascii="Arial" w:hAnsi="Arial" w:cs="Arial"/>
                <w:sz w:val="24"/>
                <w:szCs w:val="24"/>
              </w:rPr>
            </w:pPr>
            <w:r>
              <w:rPr>
                <w:rFonts w:ascii="Arial" w:hAnsi="Arial" w:cs="Arial"/>
                <w:sz w:val="24"/>
                <w:szCs w:val="24"/>
              </w:rPr>
              <w:t>9</w:t>
            </w:r>
          </w:p>
        </w:tc>
        <w:tc>
          <w:tcPr>
            <w:tcW w:w="1331" w:type="dxa"/>
          </w:tcPr>
          <w:p w:rsidR="00924E0B" w:rsidRDefault="00590916" w:rsidP="00590916">
            <w:pPr>
              <w:jc w:val="center"/>
              <w:rPr>
                <w:rFonts w:ascii="Arial" w:hAnsi="Arial" w:cs="Arial"/>
                <w:sz w:val="24"/>
                <w:szCs w:val="24"/>
              </w:rPr>
            </w:pPr>
            <w:r>
              <w:rPr>
                <w:rFonts w:ascii="Arial" w:hAnsi="Arial" w:cs="Arial"/>
                <w:sz w:val="24"/>
                <w:szCs w:val="24"/>
              </w:rPr>
              <w:t>30</w:t>
            </w:r>
          </w:p>
        </w:tc>
        <w:tc>
          <w:tcPr>
            <w:tcW w:w="1849" w:type="dxa"/>
          </w:tcPr>
          <w:p w:rsidR="00924E0B" w:rsidRDefault="00590916" w:rsidP="00590916">
            <w:pPr>
              <w:jc w:val="center"/>
              <w:rPr>
                <w:rFonts w:ascii="Arial" w:hAnsi="Arial" w:cs="Arial"/>
                <w:sz w:val="24"/>
                <w:szCs w:val="24"/>
              </w:rPr>
            </w:pPr>
            <w:r>
              <w:rPr>
                <w:rFonts w:ascii="Arial" w:hAnsi="Arial" w:cs="Arial"/>
                <w:sz w:val="24"/>
                <w:szCs w:val="24"/>
              </w:rPr>
              <w:t>0.14%</w:t>
            </w:r>
          </w:p>
        </w:tc>
      </w:tr>
      <w:tr w:rsidR="00924E0B" w:rsidTr="00590916">
        <w:tc>
          <w:tcPr>
            <w:tcW w:w="3936" w:type="dxa"/>
            <w:shd w:val="clear" w:color="auto" w:fill="FFFFFF" w:themeFill="background1"/>
          </w:tcPr>
          <w:p w:rsidR="00590916" w:rsidRDefault="00924E0B" w:rsidP="00A420A3">
            <w:pPr>
              <w:rPr>
                <w:rFonts w:ascii="Arial" w:hAnsi="Arial" w:cs="Arial"/>
                <w:sz w:val="24"/>
                <w:szCs w:val="24"/>
              </w:rPr>
            </w:pPr>
            <w:r>
              <w:rPr>
                <w:rFonts w:ascii="Arial" w:hAnsi="Arial" w:cs="Arial"/>
                <w:sz w:val="24"/>
                <w:szCs w:val="24"/>
              </w:rPr>
              <w:t xml:space="preserve">Mixed </w:t>
            </w:r>
            <w:r w:rsidR="00590916">
              <w:rPr>
                <w:rFonts w:ascii="Arial" w:hAnsi="Arial" w:cs="Arial"/>
                <w:sz w:val="24"/>
                <w:szCs w:val="24"/>
              </w:rPr>
              <w:t>– White &amp; Black African</w:t>
            </w:r>
          </w:p>
          <w:p w:rsidR="00921DF8" w:rsidRDefault="00921DF8" w:rsidP="00A420A3">
            <w:pPr>
              <w:rPr>
                <w:rFonts w:ascii="Arial" w:hAnsi="Arial" w:cs="Arial"/>
                <w:sz w:val="24"/>
                <w:szCs w:val="24"/>
              </w:rPr>
            </w:pPr>
          </w:p>
        </w:tc>
        <w:tc>
          <w:tcPr>
            <w:tcW w:w="1109" w:type="dxa"/>
          </w:tcPr>
          <w:p w:rsidR="00924E0B" w:rsidRDefault="00590916" w:rsidP="00590916">
            <w:pPr>
              <w:jc w:val="center"/>
              <w:rPr>
                <w:rFonts w:ascii="Arial" w:hAnsi="Arial" w:cs="Arial"/>
                <w:sz w:val="24"/>
                <w:szCs w:val="24"/>
              </w:rPr>
            </w:pPr>
            <w:r>
              <w:rPr>
                <w:rFonts w:ascii="Arial" w:hAnsi="Arial" w:cs="Arial"/>
                <w:sz w:val="24"/>
                <w:szCs w:val="24"/>
              </w:rPr>
              <w:t>1</w:t>
            </w:r>
          </w:p>
        </w:tc>
        <w:tc>
          <w:tcPr>
            <w:tcW w:w="1017" w:type="dxa"/>
          </w:tcPr>
          <w:p w:rsidR="00924E0B" w:rsidRDefault="00590916" w:rsidP="00590916">
            <w:pPr>
              <w:jc w:val="center"/>
              <w:rPr>
                <w:rFonts w:ascii="Arial" w:hAnsi="Arial" w:cs="Arial"/>
                <w:sz w:val="24"/>
                <w:szCs w:val="24"/>
              </w:rPr>
            </w:pPr>
            <w:r>
              <w:rPr>
                <w:rFonts w:ascii="Arial" w:hAnsi="Arial" w:cs="Arial"/>
                <w:sz w:val="24"/>
                <w:szCs w:val="24"/>
              </w:rPr>
              <w:t>0</w:t>
            </w:r>
          </w:p>
        </w:tc>
        <w:tc>
          <w:tcPr>
            <w:tcW w:w="1331" w:type="dxa"/>
          </w:tcPr>
          <w:p w:rsidR="00924E0B" w:rsidRDefault="00590916" w:rsidP="00590916">
            <w:pPr>
              <w:jc w:val="center"/>
              <w:rPr>
                <w:rFonts w:ascii="Arial" w:hAnsi="Arial" w:cs="Arial"/>
                <w:sz w:val="24"/>
                <w:szCs w:val="24"/>
              </w:rPr>
            </w:pPr>
            <w:r>
              <w:rPr>
                <w:rFonts w:ascii="Arial" w:hAnsi="Arial" w:cs="Arial"/>
                <w:sz w:val="24"/>
                <w:szCs w:val="24"/>
              </w:rPr>
              <w:t>1</w:t>
            </w:r>
          </w:p>
        </w:tc>
        <w:tc>
          <w:tcPr>
            <w:tcW w:w="1849" w:type="dxa"/>
          </w:tcPr>
          <w:p w:rsidR="00924E0B" w:rsidRDefault="00590916" w:rsidP="00590916">
            <w:pPr>
              <w:jc w:val="center"/>
              <w:rPr>
                <w:rFonts w:ascii="Arial" w:hAnsi="Arial" w:cs="Arial"/>
                <w:sz w:val="24"/>
                <w:szCs w:val="24"/>
              </w:rPr>
            </w:pPr>
            <w:r>
              <w:rPr>
                <w:rFonts w:ascii="Arial" w:hAnsi="Arial" w:cs="Arial"/>
                <w:sz w:val="24"/>
                <w:szCs w:val="24"/>
              </w:rPr>
              <w:t>0.00%</w:t>
            </w:r>
          </w:p>
        </w:tc>
      </w:tr>
      <w:tr w:rsidR="00924E0B" w:rsidTr="00590916">
        <w:tc>
          <w:tcPr>
            <w:tcW w:w="3936" w:type="dxa"/>
            <w:shd w:val="clear" w:color="auto" w:fill="FFFFFF" w:themeFill="background1"/>
          </w:tcPr>
          <w:p w:rsidR="00590916" w:rsidRDefault="00590916" w:rsidP="00A420A3">
            <w:pPr>
              <w:rPr>
                <w:rFonts w:ascii="Arial" w:hAnsi="Arial" w:cs="Arial"/>
                <w:sz w:val="24"/>
                <w:szCs w:val="24"/>
              </w:rPr>
            </w:pPr>
            <w:r>
              <w:rPr>
                <w:rFonts w:ascii="Arial" w:hAnsi="Arial" w:cs="Arial"/>
                <w:sz w:val="24"/>
                <w:szCs w:val="24"/>
              </w:rPr>
              <w:t>Mixed – White &amp; Asian</w:t>
            </w:r>
          </w:p>
          <w:p w:rsidR="00921DF8" w:rsidRDefault="00921DF8" w:rsidP="00A420A3">
            <w:pPr>
              <w:rPr>
                <w:rFonts w:ascii="Arial" w:hAnsi="Arial" w:cs="Arial"/>
                <w:sz w:val="24"/>
                <w:szCs w:val="24"/>
              </w:rPr>
            </w:pPr>
          </w:p>
        </w:tc>
        <w:tc>
          <w:tcPr>
            <w:tcW w:w="1109" w:type="dxa"/>
          </w:tcPr>
          <w:p w:rsidR="00924E0B" w:rsidRDefault="00590916" w:rsidP="00590916">
            <w:pPr>
              <w:jc w:val="center"/>
              <w:rPr>
                <w:rFonts w:ascii="Arial" w:hAnsi="Arial" w:cs="Arial"/>
                <w:sz w:val="24"/>
                <w:szCs w:val="24"/>
              </w:rPr>
            </w:pPr>
            <w:r>
              <w:rPr>
                <w:rFonts w:ascii="Arial" w:hAnsi="Arial" w:cs="Arial"/>
                <w:sz w:val="24"/>
                <w:szCs w:val="24"/>
              </w:rPr>
              <w:t>34</w:t>
            </w:r>
          </w:p>
        </w:tc>
        <w:tc>
          <w:tcPr>
            <w:tcW w:w="1017" w:type="dxa"/>
          </w:tcPr>
          <w:p w:rsidR="00924E0B" w:rsidRDefault="00590916" w:rsidP="00590916">
            <w:pPr>
              <w:jc w:val="center"/>
              <w:rPr>
                <w:rFonts w:ascii="Arial" w:hAnsi="Arial" w:cs="Arial"/>
                <w:sz w:val="24"/>
                <w:szCs w:val="24"/>
              </w:rPr>
            </w:pPr>
            <w:r>
              <w:rPr>
                <w:rFonts w:ascii="Arial" w:hAnsi="Arial" w:cs="Arial"/>
                <w:sz w:val="24"/>
                <w:szCs w:val="24"/>
              </w:rPr>
              <w:t>10</w:t>
            </w:r>
          </w:p>
        </w:tc>
        <w:tc>
          <w:tcPr>
            <w:tcW w:w="1331" w:type="dxa"/>
          </w:tcPr>
          <w:p w:rsidR="00924E0B" w:rsidRDefault="00590916" w:rsidP="00590916">
            <w:pPr>
              <w:jc w:val="center"/>
              <w:rPr>
                <w:rFonts w:ascii="Arial" w:hAnsi="Arial" w:cs="Arial"/>
                <w:sz w:val="24"/>
                <w:szCs w:val="24"/>
              </w:rPr>
            </w:pPr>
            <w:r>
              <w:rPr>
                <w:rFonts w:ascii="Arial" w:hAnsi="Arial" w:cs="Arial"/>
                <w:sz w:val="24"/>
                <w:szCs w:val="24"/>
              </w:rPr>
              <w:t>44</w:t>
            </w:r>
          </w:p>
        </w:tc>
        <w:tc>
          <w:tcPr>
            <w:tcW w:w="1849" w:type="dxa"/>
          </w:tcPr>
          <w:p w:rsidR="00924E0B" w:rsidRDefault="00590916" w:rsidP="00590916">
            <w:pPr>
              <w:jc w:val="center"/>
              <w:rPr>
                <w:rFonts w:ascii="Arial" w:hAnsi="Arial" w:cs="Arial"/>
                <w:sz w:val="24"/>
                <w:szCs w:val="24"/>
              </w:rPr>
            </w:pPr>
            <w:r>
              <w:rPr>
                <w:rFonts w:ascii="Arial" w:hAnsi="Arial" w:cs="Arial"/>
                <w:sz w:val="24"/>
                <w:szCs w:val="24"/>
              </w:rPr>
              <w:t>0.20%</w:t>
            </w:r>
          </w:p>
        </w:tc>
      </w:tr>
      <w:tr w:rsidR="00924E0B" w:rsidTr="00590916">
        <w:tc>
          <w:tcPr>
            <w:tcW w:w="3936" w:type="dxa"/>
            <w:shd w:val="clear" w:color="auto" w:fill="FFFFFF" w:themeFill="background1"/>
          </w:tcPr>
          <w:p w:rsidR="00590916" w:rsidRDefault="00590916" w:rsidP="00A420A3">
            <w:pPr>
              <w:rPr>
                <w:rFonts w:ascii="Arial" w:hAnsi="Arial" w:cs="Arial"/>
                <w:sz w:val="24"/>
                <w:szCs w:val="24"/>
              </w:rPr>
            </w:pPr>
            <w:r>
              <w:rPr>
                <w:rFonts w:ascii="Arial" w:hAnsi="Arial" w:cs="Arial"/>
                <w:sz w:val="24"/>
                <w:szCs w:val="24"/>
              </w:rPr>
              <w:t>Other Mixed Background</w:t>
            </w:r>
          </w:p>
          <w:p w:rsidR="00921DF8" w:rsidRDefault="00921DF8" w:rsidP="00A420A3">
            <w:pPr>
              <w:rPr>
                <w:rFonts w:ascii="Arial" w:hAnsi="Arial" w:cs="Arial"/>
                <w:sz w:val="24"/>
                <w:szCs w:val="24"/>
              </w:rPr>
            </w:pPr>
          </w:p>
        </w:tc>
        <w:tc>
          <w:tcPr>
            <w:tcW w:w="1109" w:type="dxa"/>
          </w:tcPr>
          <w:p w:rsidR="00924E0B" w:rsidRDefault="00590916" w:rsidP="00590916">
            <w:pPr>
              <w:jc w:val="center"/>
              <w:rPr>
                <w:rFonts w:ascii="Arial" w:hAnsi="Arial" w:cs="Arial"/>
                <w:sz w:val="24"/>
                <w:szCs w:val="24"/>
              </w:rPr>
            </w:pPr>
            <w:r>
              <w:rPr>
                <w:rFonts w:ascii="Arial" w:hAnsi="Arial" w:cs="Arial"/>
                <w:sz w:val="24"/>
                <w:szCs w:val="24"/>
              </w:rPr>
              <w:t>3</w:t>
            </w:r>
          </w:p>
        </w:tc>
        <w:tc>
          <w:tcPr>
            <w:tcW w:w="1017" w:type="dxa"/>
          </w:tcPr>
          <w:p w:rsidR="00924E0B" w:rsidRDefault="00590916" w:rsidP="00590916">
            <w:pPr>
              <w:jc w:val="center"/>
              <w:rPr>
                <w:rFonts w:ascii="Arial" w:hAnsi="Arial" w:cs="Arial"/>
                <w:sz w:val="24"/>
                <w:szCs w:val="24"/>
              </w:rPr>
            </w:pPr>
            <w:r>
              <w:rPr>
                <w:rFonts w:ascii="Arial" w:hAnsi="Arial" w:cs="Arial"/>
                <w:sz w:val="24"/>
                <w:szCs w:val="24"/>
              </w:rPr>
              <w:t>3</w:t>
            </w:r>
          </w:p>
        </w:tc>
        <w:tc>
          <w:tcPr>
            <w:tcW w:w="1331" w:type="dxa"/>
          </w:tcPr>
          <w:p w:rsidR="00924E0B" w:rsidRDefault="00590916" w:rsidP="00590916">
            <w:pPr>
              <w:jc w:val="center"/>
              <w:rPr>
                <w:rFonts w:ascii="Arial" w:hAnsi="Arial" w:cs="Arial"/>
                <w:sz w:val="24"/>
                <w:szCs w:val="24"/>
              </w:rPr>
            </w:pPr>
            <w:r>
              <w:rPr>
                <w:rFonts w:ascii="Arial" w:hAnsi="Arial" w:cs="Arial"/>
                <w:sz w:val="24"/>
                <w:szCs w:val="24"/>
              </w:rPr>
              <w:t>6</w:t>
            </w:r>
          </w:p>
        </w:tc>
        <w:tc>
          <w:tcPr>
            <w:tcW w:w="1849" w:type="dxa"/>
          </w:tcPr>
          <w:p w:rsidR="00924E0B" w:rsidRDefault="00590916" w:rsidP="00590916">
            <w:pPr>
              <w:jc w:val="center"/>
              <w:rPr>
                <w:rFonts w:ascii="Arial" w:hAnsi="Arial" w:cs="Arial"/>
                <w:sz w:val="24"/>
                <w:szCs w:val="24"/>
              </w:rPr>
            </w:pPr>
            <w:r>
              <w:rPr>
                <w:rFonts w:ascii="Arial" w:hAnsi="Arial" w:cs="Arial"/>
                <w:sz w:val="24"/>
                <w:szCs w:val="24"/>
              </w:rPr>
              <w:t>0.03%</w:t>
            </w:r>
          </w:p>
        </w:tc>
      </w:tr>
      <w:tr w:rsidR="00924E0B" w:rsidTr="00590916">
        <w:tc>
          <w:tcPr>
            <w:tcW w:w="3936" w:type="dxa"/>
            <w:shd w:val="clear" w:color="auto" w:fill="FFFFFF" w:themeFill="background1"/>
          </w:tcPr>
          <w:p w:rsidR="00590916" w:rsidRDefault="00590916" w:rsidP="00A420A3">
            <w:pPr>
              <w:rPr>
                <w:rFonts w:ascii="Arial" w:hAnsi="Arial" w:cs="Arial"/>
                <w:sz w:val="24"/>
                <w:szCs w:val="24"/>
              </w:rPr>
            </w:pPr>
            <w:r>
              <w:rPr>
                <w:rFonts w:ascii="Arial" w:hAnsi="Arial" w:cs="Arial"/>
                <w:sz w:val="24"/>
                <w:szCs w:val="24"/>
              </w:rPr>
              <w:t>Other Ethnic Background</w:t>
            </w:r>
          </w:p>
          <w:p w:rsidR="00921DF8" w:rsidRDefault="00921DF8" w:rsidP="00A420A3">
            <w:pPr>
              <w:rPr>
                <w:rFonts w:ascii="Arial" w:hAnsi="Arial" w:cs="Arial"/>
                <w:sz w:val="24"/>
                <w:szCs w:val="24"/>
              </w:rPr>
            </w:pPr>
          </w:p>
        </w:tc>
        <w:tc>
          <w:tcPr>
            <w:tcW w:w="1109" w:type="dxa"/>
          </w:tcPr>
          <w:p w:rsidR="00924E0B" w:rsidRDefault="00590916" w:rsidP="00590916">
            <w:pPr>
              <w:jc w:val="center"/>
              <w:rPr>
                <w:rFonts w:ascii="Arial" w:hAnsi="Arial" w:cs="Arial"/>
                <w:sz w:val="24"/>
                <w:szCs w:val="24"/>
              </w:rPr>
            </w:pPr>
            <w:r>
              <w:rPr>
                <w:rFonts w:ascii="Arial" w:hAnsi="Arial" w:cs="Arial"/>
                <w:sz w:val="24"/>
                <w:szCs w:val="24"/>
              </w:rPr>
              <w:t>9</w:t>
            </w:r>
          </w:p>
        </w:tc>
        <w:tc>
          <w:tcPr>
            <w:tcW w:w="1017" w:type="dxa"/>
          </w:tcPr>
          <w:p w:rsidR="00924E0B" w:rsidRDefault="00590916" w:rsidP="00590916">
            <w:pPr>
              <w:jc w:val="center"/>
              <w:rPr>
                <w:rFonts w:ascii="Arial" w:hAnsi="Arial" w:cs="Arial"/>
                <w:sz w:val="24"/>
                <w:szCs w:val="24"/>
              </w:rPr>
            </w:pPr>
            <w:r>
              <w:rPr>
                <w:rFonts w:ascii="Arial" w:hAnsi="Arial" w:cs="Arial"/>
                <w:sz w:val="24"/>
                <w:szCs w:val="24"/>
              </w:rPr>
              <w:t>29</w:t>
            </w:r>
          </w:p>
        </w:tc>
        <w:tc>
          <w:tcPr>
            <w:tcW w:w="1331" w:type="dxa"/>
          </w:tcPr>
          <w:p w:rsidR="00924E0B" w:rsidRDefault="00590916" w:rsidP="00590916">
            <w:pPr>
              <w:jc w:val="center"/>
              <w:rPr>
                <w:rFonts w:ascii="Arial" w:hAnsi="Arial" w:cs="Arial"/>
                <w:sz w:val="24"/>
                <w:szCs w:val="24"/>
              </w:rPr>
            </w:pPr>
            <w:r>
              <w:rPr>
                <w:rFonts w:ascii="Arial" w:hAnsi="Arial" w:cs="Arial"/>
                <w:sz w:val="24"/>
                <w:szCs w:val="24"/>
              </w:rPr>
              <w:t>38</w:t>
            </w:r>
          </w:p>
        </w:tc>
        <w:tc>
          <w:tcPr>
            <w:tcW w:w="1849" w:type="dxa"/>
          </w:tcPr>
          <w:p w:rsidR="00924E0B" w:rsidRDefault="00590916" w:rsidP="00590916">
            <w:pPr>
              <w:jc w:val="center"/>
              <w:rPr>
                <w:rFonts w:ascii="Arial" w:hAnsi="Arial" w:cs="Arial"/>
                <w:sz w:val="24"/>
                <w:szCs w:val="24"/>
              </w:rPr>
            </w:pPr>
            <w:r>
              <w:rPr>
                <w:rFonts w:ascii="Arial" w:hAnsi="Arial" w:cs="Arial"/>
                <w:sz w:val="24"/>
                <w:szCs w:val="24"/>
              </w:rPr>
              <w:t>0.17%</w:t>
            </w:r>
          </w:p>
        </w:tc>
      </w:tr>
      <w:tr w:rsidR="00924E0B" w:rsidTr="00590916">
        <w:tc>
          <w:tcPr>
            <w:tcW w:w="3936" w:type="dxa"/>
            <w:shd w:val="clear" w:color="auto" w:fill="FFFFFF" w:themeFill="background1"/>
          </w:tcPr>
          <w:p w:rsidR="00590916" w:rsidRDefault="00590916" w:rsidP="00A420A3">
            <w:pPr>
              <w:rPr>
                <w:rFonts w:ascii="Arial" w:hAnsi="Arial" w:cs="Arial"/>
                <w:sz w:val="24"/>
                <w:szCs w:val="24"/>
              </w:rPr>
            </w:pPr>
            <w:r>
              <w:rPr>
                <w:rFonts w:ascii="Arial" w:hAnsi="Arial" w:cs="Arial"/>
                <w:sz w:val="24"/>
                <w:szCs w:val="24"/>
              </w:rPr>
              <w:t>Information Refused</w:t>
            </w:r>
          </w:p>
          <w:p w:rsidR="00921DF8" w:rsidRDefault="00921DF8" w:rsidP="00A420A3">
            <w:pPr>
              <w:rPr>
                <w:rFonts w:ascii="Arial" w:hAnsi="Arial" w:cs="Arial"/>
                <w:sz w:val="24"/>
                <w:szCs w:val="24"/>
              </w:rPr>
            </w:pPr>
          </w:p>
        </w:tc>
        <w:tc>
          <w:tcPr>
            <w:tcW w:w="1109" w:type="dxa"/>
          </w:tcPr>
          <w:p w:rsidR="00924E0B" w:rsidRDefault="00590916" w:rsidP="00590916">
            <w:pPr>
              <w:jc w:val="center"/>
              <w:rPr>
                <w:rFonts w:ascii="Arial" w:hAnsi="Arial" w:cs="Arial"/>
                <w:sz w:val="24"/>
                <w:szCs w:val="24"/>
              </w:rPr>
            </w:pPr>
            <w:r>
              <w:rPr>
                <w:rFonts w:ascii="Arial" w:hAnsi="Arial" w:cs="Arial"/>
                <w:sz w:val="24"/>
                <w:szCs w:val="24"/>
              </w:rPr>
              <w:t>2</w:t>
            </w:r>
          </w:p>
        </w:tc>
        <w:tc>
          <w:tcPr>
            <w:tcW w:w="1017" w:type="dxa"/>
          </w:tcPr>
          <w:p w:rsidR="00924E0B" w:rsidRDefault="00590916" w:rsidP="00590916">
            <w:pPr>
              <w:jc w:val="center"/>
              <w:rPr>
                <w:rFonts w:ascii="Arial" w:hAnsi="Arial" w:cs="Arial"/>
                <w:sz w:val="24"/>
                <w:szCs w:val="24"/>
              </w:rPr>
            </w:pPr>
            <w:r>
              <w:rPr>
                <w:rFonts w:ascii="Arial" w:hAnsi="Arial" w:cs="Arial"/>
                <w:sz w:val="24"/>
                <w:szCs w:val="24"/>
              </w:rPr>
              <w:t>15</w:t>
            </w:r>
          </w:p>
        </w:tc>
        <w:tc>
          <w:tcPr>
            <w:tcW w:w="1331" w:type="dxa"/>
          </w:tcPr>
          <w:p w:rsidR="00924E0B" w:rsidRDefault="00590916" w:rsidP="00590916">
            <w:pPr>
              <w:jc w:val="center"/>
              <w:rPr>
                <w:rFonts w:ascii="Arial" w:hAnsi="Arial" w:cs="Arial"/>
                <w:sz w:val="24"/>
                <w:szCs w:val="24"/>
              </w:rPr>
            </w:pPr>
            <w:r>
              <w:rPr>
                <w:rFonts w:ascii="Arial" w:hAnsi="Arial" w:cs="Arial"/>
                <w:sz w:val="24"/>
                <w:szCs w:val="24"/>
              </w:rPr>
              <w:t>17</w:t>
            </w:r>
          </w:p>
        </w:tc>
        <w:tc>
          <w:tcPr>
            <w:tcW w:w="1849" w:type="dxa"/>
          </w:tcPr>
          <w:p w:rsidR="00924E0B" w:rsidRDefault="00590916" w:rsidP="00590916">
            <w:pPr>
              <w:jc w:val="center"/>
              <w:rPr>
                <w:rFonts w:ascii="Arial" w:hAnsi="Arial" w:cs="Arial"/>
                <w:sz w:val="24"/>
                <w:szCs w:val="24"/>
              </w:rPr>
            </w:pPr>
            <w:r>
              <w:rPr>
                <w:rFonts w:ascii="Arial" w:hAnsi="Arial" w:cs="Arial"/>
                <w:sz w:val="24"/>
                <w:szCs w:val="24"/>
              </w:rPr>
              <w:t>0.08%</w:t>
            </w:r>
          </w:p>
        </w:tc>
      </w:tr>
      <w:tr w:rsidR="00924E0B" w:rsidTr="00590916">
        <w:tc>
          <w:tcPr>
            <w:tcW w:w="3936" w:type="dxa"/>
            <w:shd w:val="clear" w:color="auto" w:fill="FFFFFF" w:themeFill="background1"/>
          </w:tcPr>
          <w:p w:rsidR="00590916" w:rsidRDefault="00590916" w:rsidP="00A420A3">
            <w:pPr>
              <w:rPr>
                <w:rFonts w:ascii="Arial" w:hAnsi="Arial" w:cs="Arial"/>
                <w:sz w:val="24"/>
                <w:szCs w:val="24"/>
              </w:rPr>
            </w:pPr>
            <w:r>
              <w:rPr>
                <w:rFonts w:ascii="Arial" w:hAnsi="Arial" w:cs="Arial"/>
                <w:sz w:val="24"/>
                <w:szCs w:val="24"/>
              </w:rPr>
              <w:t>Not Known</w:t>
            </w:r>
          </w:p>
          <w:p w:rsidR="00921DF8" w:rsidRDefault="00921DF8" w:rsidP="00A420A3">
            <w:pPr>
              <w:rPr>
                <w:rFonts w:ascii="Arial" w:hAnsi="Arial" w:cs="Arial"/>
                <w:sz w:val="24"/>
                <w:szCs w:val="24"/>
              </w:rPr>
            </w:pPr>
          </w:p>
        </w:tc>
        <w:tc>
          <w:tcPr>
            <w:tcW w:w="1109" w:type="dxa"/>
          </w:tcPr>
          <w:p w:rsidR="00924E0B" w:rsidRDefault="00590916" w:rsidP="00590916">
            <w:pPr>
              <w:jc w:val="center"/>
              <w:rPr>
                <w:rFonts w:ascii="Arial" w:hAnsi="Arial" w:cs="Arial"/>
                <w:sz w:val="24"/>
                <w:szCs w:val="24"/>
              </w:rPr>
            </w:pPr>
            <w:r>
              <w:rPr>
                <w:rFonts w:ascii="Arial" w:hAnsi="Arial" w:cs="Arial"/>
                <w:sz w:val="24"/>
                <w:szCs w:val="24"/>
              </w:rPr>
              <w:t>431</w:t>
            </w:r>
          </w:p>
        </w:tc>
        <w:tc>
          <w:tcPr>
            <w:tcW w:w="1017" w:type="dxa"/>
          </w:tcPr>
          <w:p w:rsidR="00924E0B" w:rsidRDefault="00590916" w:rsidP="00590916">
            <w:pPr>
              <w:jc w:val="center"/>
              <w:rPr>
                <w:rFonts w:ascii="Arial" w:hAnsi="Arial" w:cs="Arial"/>
                <w:sz w:val="24"/>
                <w:szCs w:val="24"/>
              </w:rPr>
            </w:pPr>
            <w:r>
              <w:rPr>
                <w:rFonts w:ascii="Arial" w:hAnsi="Arial" w:cs="Arial"/>
                <w:sz w:val="24"/>
                <w:szCs w:val="24"/>
              </w:rPr>
              <w:t>426</w:t>
            </w:r>
          </w:p>
        </w:tc>
        <w:tc>
          <w:tcPr>
            <w:tcW w:w="1331" w:type="dxa"/>
          </w:tcPr>
          <w:p w:rsidR="00924E0B" w:rsidRDefault="00590916" w:rsidP="00590916">
            <w:pPr>
              <w:jc w:val="center"/>
              <w:rPr>
                <w:rFonts w:ascii="Arial" w:hAnsi="Arial" w:cs="Arial"/>
                <w:sz w:val="24"/>
                <w:szCs w:val="24"/>
              </w:rPr>
            </w:pPr>
            <w:r>
              <w:rPr>
                <w:rFonts w:ascii="Arial" w:hAnsi="Arial" w:cs="Arial"/>
                <w:sz w:val="24"/>
                <w:szCs w:val="24"/>
              </w:rPr>
              <w:t>857</w:t>
            </w:r>
          </w:p>
        </w:tc>
        <w:tc>
          <w:tcPr>
            <w:tcW w:w="1849" w:type="dxa"/>
          </w:tcPr>
          <w:p w:rsidR="00924E0B" w:rsidRDefault="00590916" w:rsidP="00590916">
            <w:pPr>
              <w:jc w:val="center"/>
              <w:rPr>
                <w:rFonts w:ascii="Arial" w:hAnsi="Arial" w:cs="Arial"/>
                <w:sz w:val="24"/>
                <w:szCs w:val="24"/>
              </w:rPr>
            </w:pPr>
            <w:r>
              <w:rPr>
                <w:rFonts w:ascii="Arial" w:hAnsi="Arial" w:cs="Arial"/>
                <w:sz w:val="24"/>
                <w:szCs w:val="24"/>
              </w:rPr>
              <w:t>3.86%</w:t>
            </w:r>
          </w:p>
        </w:tc>
      </w:tr>
      <w:tr w:rsidR="00924E0B" w:rsidTr="00590916">
        <w:tc>
          <w:tcPr>
            <w:tcW w:w="3936" w:type="dxa"/>
            <w:shd w:val="clear" w:color="auto" w:fill="E5B8B7" w:themeFill="accent2" w:themeFillTint="66"/>
          </w:tcPr>
          <w:p w:rsidR="00924E0B" w:rsidRDefault="00590916" w:rsidP="00A420A3">
            <w:pPr>
              <w:rPr>
                <w:rFonts w:ascii="Arial" w:hAnsi="Arial" w:cs="Arial"/>
                <w:sz w:val="24"/>
                <w:szCs w:val="24"/>
              </w:rPr>
            </w:pPr>
            <w:r>
              <w:rPr>
                <w:rFonts w:ascii="Arial" w:hAnsi="Arial" w:cs="Arial"/>
                <w:sz w:val="24"/>
                <w:szCs w:val="24"/>
              </w:rPr>
              <w:t>Total</w:t>
            </w:r>
          </w:p>
          <w:p w:rsidR="00590916" w:rsidRDefault="00590916" w:rsidP="00A420A3">
            <w:pPr>
              <w:rPr>
                <w:rFonts w:ascii="Arial" w:hAnsi="Arial" w:cs="Arial"/>
                <w:sz w:val="24"/>
                <w:szCs w:val="24"/>
              </w:rPr>
            </w:pPr>
          </w:p>
        </w:tc>
        <w:tc>
          <w:tcPr>
            <w:tcW w:w="1109" w:type="dxa"/>
            <w:shd w:val="clear" w:color="auto" w:fill="E5B8B7" w:themeFill="accent2" w:themeFillTint="66"/>
          </w:tcPr>
          <w:p w:rsidR="00924E0B" w:rsidRDefault="00590916" w:rsidP="00590916">
            <w:pPr>
              <w:jc w:val="center"/>
              <w:rPr>
                <w:rFonts w:ascii="Arial" w:hAnsi="Arial" w:cs="Arial"/>
                <w:sz w:val="24"/>
                <w:szCs w:val="24"/>
              </w:rPr>
            </w:pPr>
            <w:r>
              <w:rPr>
                <w:rFonts w:ascii="Arial" w:hAnsi="Arial" w:cs="Arial"/>
                <w:sz w:val="24"/>
                <w:szCs w:val="24"/>
              </w:rPr>
              <w:t>10</w:t>
            </w:r>
            <w:r w:rsidR="004749C7">
              <w:rPr>
                <w:rFonts w:ascii="Arial" w:hAnsi="Arial" w:cs="Arial"/>
                <w:sz w:val="24"/>
                <w:szCs w:val="24"/>
              </w:rPr>
              <w:t>,</w:t>
            </w:r>
            <w:r>
              <w:rPr>
                <w:rFonts w:ascii="Arial" w:hAnsi="Arial" w:cs="Arial"/>
                <w:sz w:val="24"/>
                <w:szCs w:val="24"/>
              </w:rPr>
              <w:t>852</w:t>
            </w:r>
          </w:p>
        </w:tc>
        <w:tc>
          <w:tcPr>
            <w:tcW w:w="1017" w:type="dxa"/>
            <w:shd w:val="clear" w:color="auto" w:fill="E5B8B7" w:themeFill="accent2" w:themeFillTint="66"/>
          </w:tcPr>
          <w:p w:rsidR="00924E0B" w:rsidRDefault="00590916" w:rsidP="00590916">
            <w:pPr>
              <w:jc w:val="center"/>
              <w:rPr>
                <w:rFonts w:ascii="Arial" w:hAnsi="Arial" w:cs="Arial"/>
                <w:sz w:val="24"/>
                <w:szCs w:val="24"/>
              </w:rPr>
            </w:pPr>
            <w:r>
              <w:rPr>
                <w:rFonts w:ascii="Arial" w:hAnsi="Arial" w:cs="Arial"/>
                <w:sz w:val="24"/>
                <w:szCs w:val="24"/>
              </w:rPr>
              <w:t>11</w:t>
            </w:r>
            <w:r w:rsidR="004749C7">
              <w:rPr>
                <w:rFonts w:ascii="Arial" w:hAnsi="Arial" w:cs="Arial"/>
                <w:sz w:val="24"/>
                <w:szCs w:val="24"/>
              </w:rPr>
              <w:t>,</w:t>
            </w:r>
            <w:r>
              <w:rPr>
                <w:rFonts w:ascii="Arial" w:hAnsi="Arial" w:cs="Arial"/>
                <w:sz w:val="24"/>
                <w:szCs w:val="24"/>
              </w:rPr>
              <w:t>337</w:t>
            </w:r>
          </w:p>
        </w:tc>
        <w:tc>
          <w:tcPr>
            <w:tcW w:w="1331" w:type="dxa"/>
            <w:shd w:val="clear" w:color="auto" w:fill="E5B8B7" w:themeFill="accent2" w:themeFillTint="66"/>
          </w:tcPr>
          <w:p w:rsidR="00924E0B" w:rsidRDefault="00590916" w:rsidP="00590916">
            <w:pPr>
              <w:jc w:val="center"/>
              <w:rPr>
                <w:rFonts w:ascii="Arial" w:hAnsi="Arial" w:cs="Arial"/>
                <w:sz w:val="24"/>
                <w:szCs w:val="24"/>
              </w:rPr>
            </w:pPr>
            <w:r>
              <w:rPr>
                <w:rFonts w:ascii="Arial" w:hAnsi="Arial" w:cs="Arial"/>
                <w:sz w:val="24"/>
                <w:szCs w:val="24"/>
              </w:rPr>
              <w:t>22</w:t>
            </w:r>
            <w:r w:rsidR="004749C7">
              <w:rPr>
                <w:rFonts w:ascii="Arial" w:hAnsi="Arial" w:cs="Arial"/>
                <w:sz w:val="24"/>
                <w:szCs w:val="24"/>
              </w:rPr>
              <w:t>,</w:t>
            </w:r>
            <w:r>
              <w:rPr>
                <w:rFonts w:ascii="Arial" w:hAnsi="Arial" w:cs="Arial"/>
                <w:sz w:val="24"/>
                <w:szCs w:val="24"/>
              </w:rPr>
              <w:t>189</w:t>
            </w:r>
          </w:p>
        </w:tc>
        <w:tc>
          <w:tcPr>
            <w:tcW w:w="1849" w:type="dxa"/>
            <w:shd w:val="clear" w:color="auto" w:fill="E5B8B7" w:themeFill="accent2" w:themeFillTint="66"/>
          </w:tcPr>
          <w:p w:rsidR="00924E0B" w:rsidRDefault="00590916" w:rsidP="00590916">
            <w:pPr>
              <w:jc w:val="center"/>
              <w:rPr>
                <w:rFonts w:ascii="Arial" w:hAnsi="Arial" w:cs="Arial"/>
                <w:sz w:val="24"/>
                <w:szCs w:val="24"/>
              </w:rPr>
            </w:pPr>
            <w:r>
              <w:rPr>
                <w:rFonts w:ascii="Arial" w:hAnsi="Arial" w:cs="Arial"/>
                <w:sz w:val="24"/>
                <w:szCs w:val="24"/>
              </w:rPr>
              <w:t>100.00%</w:t>
            </w:r>
          </w:p>
        </w:tc>
      </w:tr>
    </w:tbl>
    <w:p w:rsidR="00590916" w:rsidRPr="00590916" w:rsidRDefault="00590916" w:rsidP="00A420A3">
      <w:pPr>
        <w:rPr>
          <w:rFonts w:ascii="Arial" w:hAnsi="Arial" w:cs="Arial"/>
          <w:b/>
          <w:sz w:val="24"/>
          <w:szCs w:val="24"/>
        </w:rPr>
      </w:pPr>
      <w:r w:rsidRPr="00590916">
        <w:rPr>
          <w:rFonts w:ascii="Arial" w:hAnsi="Arial" w:cs="Arial"/>
          <w:b/>
          <w:sz w:val="24"/>
          <w:szCs w:val="24"/>
        </w:rPr>
        <w:t>2008-2009</w:t>
      </w:r>
    </w:p>
    <w:p w:rsidR="00590916" w:rsidRPr="00924E0B" w:rsidRDefault="00590916" w:rsidP="00A420A3">
      <w:pPr>
        <w:rPr>
          <w:rFonts w:ascii="Arial" w:hAnsi="Arial" w:cs="Arial"/>
          <w:sz w:val="24"/>
          <w:szCs w:val="24"/>
        </w:rPr>
      </w:pPr>
      <w:r>
        <w:rPr>
          <w:rFonts w:ascii="Arial" w:hAnsi="Arial" w:cs="Arial"/>
          <w:sz w:val="24"/>
          <w:szCs w:val="24"/>
        </w:rPr>
        <w:t>The number of enrolments from different ethnic groups is illustrated in the following table:</w:t>
      </w:r>
    </w:p>
    <w:tbl>
      <w:tblPr>
        <w:tblStyle w:val="TableGrid"/>
        <w:tblW w:w="0" w:type="auto"/>
        <w:tblLook w:val="04A0"/>
      </w:tblPr>
      <w:tblGrid>
        <w:gridCol w:w="3936"/>
        <w:gridCol w:w="1109"/>
        <w:gridCol w:w="1017"/>
        <w:gridCol w:w="1331"/>
        <w:gridCol w:w="1849"/>
      </w:tblGrid>
      <w:tr w:rsidR="00590916" w:rsidTr="00921DF8">
        <w:tc>
          <w:tcPr>
            <w:tcW w:w="3936" w:type="dxa"/>
            <w:shd w:val="clear" w:color="auto" w:fill="E5B8B7" w:themeFill="accent2" w:themeFillTint="66"/>
          </w:tcPr>
          <w:p w:rsidR="00590916" w:rsidRDefault="00590916" w:rsidP="00921DF8">
            <w:pPr>
              <w:jc w:val="center"/>
              <w:rPr>
                <w:rFonts w:ascii="Arial" w:hAnsi="Arial" w:cs="Arial"/>
                <w:sz w:val="24"/>
                <w:szCs w:val="24"/>
              </w:rPr>
            </w:pPr>
            <w:r>
              <w:rPr>
                <w:rFonts w:ascii="Arial" w:hAnsi="Arial" w:cs="Arial"/>
                <w:sz w:val="24"/>
                <w:szCs w:val="24"/>
              </w:rPr>
              <w:t>Ethnic Origin</w:t>
            </w:r>
          </w:p>
        </w:tc>
        <w:tc>
          <w:tcPr>
            <w:tcW w:w="1109" w:type="dxa"/>
            <w:shd w:val="clear" w:color="auto" w:fill="E5B8B7" w:themeFill="accent2" w:themeFillTint="66"/>
          </w:tcPr>
          <w:p w:rsidR="00590916" w:rsidRDefault="00590916" w:rsidP="00921DF8">
            <w:pPr>
              <w:jc w:val="center"/>
              <w:rPr>
                <w:rFonts w:ascii="Arial" w:hAnsi="Arial" w:cs="Arial"/>
                <w:sz w:val="24"/>
                <w:szCs w:val="24"/>
              </w:rPr>
            </w:pPr>
            <w:r>
              <w:rPr>
                <w:rFonts w:ascii="Arial" w:hAnsi="Arial" w:cs="Arial"/>
                <w:sz w:val="24"/>
                <w:szCs w:val="24"/>
              </w:rPr>
              <w:t>Male</w:t>
            </w:r>
          </w:p>
        </w:tc>
        <w:tc>
          <w:tcPr>
            <w:tcW w:w="1017" w:type="dxa"/>
            <w:shd w:val="clear" w:color="auto" w:fill="E5B8B7" w:themeFill="accent2" w:themeFillTint="66"/>
          </w:tcPr>
          <w:p w:rsidR="00590916" w:rsidRDefault="00590916" w:rsidP="00921DF8">
            <w:pPr>
              <w:jc w:val="center"/>
              <w:rPr>
                <w:rFonts w:ascii="Arial" w:hAnsi="Arial" w:cs="Arial"/>
                <w:sz w:val="24"/>
                <w:szCs w:val="24"/>
              </w:rPr>
            </w:pPr>
            <w:r>
              <w:rPr>
                <w:rFonts w:ascii="Arial" w:hAnsi="Arial" w:cs="Arial"/>
                <w:sz w:val="24"/>
                <w:szCs w:val="24"/>
              </w:rPr>
              <w:t>Female</w:t>
            </w:r>
          </w:p>
        </w:tc>
        <w:tc>
          <w:tcPr>
            <w:tcW w:w="1331" w:type="dxa"/>
            <w:shd w:val="clear" w:color="auto" w:fill="E5B8B7" w:themeFill="accent2" w:themeFillTint="66"/>
          </w:tcPr>
          <w:p w:rsidR="00590916" w:rsidRDefault="00590916" w:rsidP="00921DF8">
            <w:pPr>
              <w:jc w:val="center"/>
              <w:rPr>
                <w:rFonts w:ascii="Arial" w:hAnsi="Arial" w:cs="Arial"/>
                <w:sz w:val="24"/>
                <w:szCs w:val="24"/>
              </w:rPr>
            </w:pPr>
            <w:r>
              <w:rPr>
                <w:rFonts w:ascii="Arial" w:hAnsi="Arial" w:cs="Arial"/>
                <w:sz w:val="24"/>
                <w:szCs w:val="24"/>
              </w:rPr>
              <w:t>Total</w:t>
            </w:r>
          </w:p>
        </w:tc>
        <w:tc>
          <w:tcPr>
            <w:tcW w:w="1849" w:type="dxa"/>
            <w:shd w:val="clear" w:color="auto" w:fill="E5B8B7" w:themeFill="accent2" w:themeFillTint="66"/>
          </w:tcPr>
          <w:p w:rsidR="00590916" w:rsidRDefault="00720D5D" w:rsidP="00921DF8">
            <w:pPr>
              <w:jc w:val="center"/>
              <w:rPr>
                <w:rFonts w:ascii="Arial" w:hAnsi="Arial" w:cs="Arial"/>
                <w:sz w:val="24"/>
                <w:szCs w:val="24"/>
              </w:rPr>
            </w:pPr>
            <w:r>
              <w:rPr>
                <w:rFonts w:ascii="Arial" w:hAnsi="Arial" w:cs="Arial"/>
                <w:sz w:val="24"/>
                <w:szCs w:val="24"/>
              </w:rPr>
              <w:t>% of C</w:t>
            </w:r>
            <w:r w:rsidR="00590916">
              <w:rPr>
                <w:rFonts w:ascii="Arial" w:hAnsi="Arial" w:cs="Arial"/>
                <w:sz w:val="24"/>
                <w:szCs w:val="24"/>
              </w:rPr>
              <w:t>ollege total</w:t>
            </w:r>
          </w:p>
        </w:tc>
      </w:tr>
      <w:tr w:rsidR="00590916" w:rsidTr="00921DF8">
        <w:tc>
          <w:tcPr>
            <w:tcW w:w="3936" w:type="dxa"/>
            <w:shd w:val="clear" w:color="auto" w:fill="FFFFFF" w:themeFill="background1"/>
          </w:tcPr>
          <w:p w:rsidR="00590916" w:rsidRDefault="00590916" w:rsidP="00921DF8">
            <w:pPr>
              <w:rPr>
                <w:rFonts w:ascii="Arial" w:hAnsi="Arial" w:cs="Arial"/>
                <w:sz w:val="24"/>
                <w:szCs w:val="24"/>
              </w:rPr>
            </w:pPr>
            <w:r>
              <w:rPr>
                <w:rFonts w:ascii="Arial" w:hAnsi="Arial" w:cs="Arial"/>
                <w:sz w:val="24"/>
                <w:szCs w:val="24"/>
              </w:rPr>
              <w:t>Null</w:t>
            </w:r>
          </w:p>
          <w:p w:rsidR="00C26FC7" w:rsidRDefault="00C26FC7" w:rsidP="00921DF8">
            <w:pPr>
              <w:rPr>
                <w:rFonts w:ascii="Arial" w:hAnsi="Arial" w:cs="Arial"/>
                <w:sz w:val="24"/>
                <w:szCs w:val="24"/>
              </w:rPr>
            </w:pPr>
          </w:p>
        </w:tc>
        <w:tc>
          <w:tcPr>
            <w:tcW w:w="1109" w:type="dxa"/>
          </w:tcPr>
          <w:p w:rsidR="00590916" w:rsidRDefault="00590916" w:rsidP="00921DF8">
            <w:pPr>
              <w:jc w:val="center"/>
              <w:rPr>
                <w:rFonts w:ascii="Arial" w:hAnsi="Arial" w:cs="Arial"/>
                <w:sz w:val="24"/>
                <w:szCs w:val="24"/>
              </w:rPr>
            </w:pPr>
            <w:r>
              <w:rPr>
                <w:rFonts w:ascii="Arial" w:hAnsi="Arial" w:cs="Arial"/>
                <w:sz w:val="24"/>
                <w:szCs w:val="24"/>
              </w:rPr>
              <w:t>0</w:t>
            </w:r>
          </w:p>
        </w:tc>
        <w:tc>
          <w:tcPr>
            <w:tcW w:w="1017" w:type="dxa"/>
          </w:tcPr>
          <w:p w:rsidR="00590916" w:rsidRDefault="00921DF8" w:rsidP="00921DF8">
            <w:pPr>
              <w:jc w:val="center"/>
              <w:rPr>
                <w:rFonts w:ascii="Arial" w:hAnsi="Arial" w:cs="Arial"/>
                <w:sz w:val="24"/>
                <w:szCs w:val="24"/>
              </w:rPr>
            </w:pPr>
            <w:r>
              <w:rPr>
                <w:rFonts w:ascii="Arial" w:hAnsi="Arial" w:cs="Arial"/>
                <w:sz w:val="24"/>
                <w:szCs w:val="24"/>
              </w:rPr>
              <w:t>3</w:t>
            </w:r>
          </w:p>
        </w:tc>
        <w:tc>
          <w:tcPr>
            <w:tcW w:w="1331" w:type="dxa"/>
          </w:tcPr>
          <w:p w:rsidR="00590916" w:rsidRDefault="00921DF8" w:rsidP="00921DF8">
            <w:pPr>
              <w:jc w:val="center"/>
              <w:rPr>
                <w:rFonts w:ascii="Arial" w:hAnsi="Arial" w:cs="Arial"/>
                <w:sz w:val="24"/>
                <w:szCs w:val="24"/>
              </w:rPr>
            </w:pPr>
            <w:r>
              <w:rPr>
                <w:rFonts w:ascii="Arial" w:hAnsi="Arial" w:cs="Arial"/>
                <w:sz w:val="24"/>
                <w:szCs w:val="24"/>
              </w:rPr>
              <w:t>3</w:t>
            </w:r>
          </w:p>
        </w:tc>
        <w:tc>
          <w:tcPr>
            <w:tcW w:w="1849" w:type="dxa"/>
          </w:tcPr>
          <w:p w:rsidR="00590916" w:rsidRDefault="00921DF8" w:rsidP="00921DF8">
            <w:pPr>
              <w:jc w:val="center"/>
              <w:rPr>
                <w:rFonts w:ascii="Arial" w:hAnsi="Arial" w:cs="Arial"/>
                <w:sz w:val="24"/>
                <w:szCs w:val="24"/>
              </w:rPr>
            </w:pPr>
            <w:r>
              <w:rPr>
                <w:rFonts w:ascii="Arial" w:hAnsi="Arial" w:cs="Arial"/>
                <w:sz w:val="24"/>
                <w:szCs w:val="24"/>
              </w:rPr>
              <w:t>0.01%</w:t>
            </w:r>
          </w:p>
        </w:tc>
      </w:tr>
      <w:tr w:rsidR="00590916" w:rsidTr="00921DF8">
        <w:tc>
          <w:tcPr>
            <w:tcW w:w="3936" w:type="dxa"/>
            <w:shd w:val="clear" w:color="auto" w:fill="FFFFFF" w:themeFill="background1"/>
          </w:tcPr>
          <w:p w:rsidR="00590916" w:rsidRDefault="00590916" w:rsidP="00921DF8">
            <w:pPr>
              <w:rPr>
                <w:rFonts w:ascii="Arial" w:hAnsi="Arial" w:cs="Arial"/>
                <w:sz w:val="24"/>
                <w:szCs w:val="24"/>
              </w:rPr>
            </w:pPr>
            <w:r>
              <w:rPr>
                <w:rFonts w:ascii="Arial" w:hAnsi="Arial" w:cs="Arial"/>
                <w:sz w:val="24"/>
                <w:szCs w:val="24"/>
              </w:rPr>
              <w:t>White</w:t>
            </w:r>
          </w:p>
          <w:p w:rsidR="00C26FC7" w:rsidRDefault="00C26FC7" w:rsidP="00921DF8">
            <w:pPr>
              <w:rPr>
                <w:rFonts w:ascii="Arial" w:hAnsi="Arial" w:cs="Arial"/>
                <w:sz w:val="24"/>
                <w:szCs w:val="24"/>
              </w:rPr>
            </w:pPr>
          </w:p>
        </w:tc>
        <w:tc>
          <w:tcPr>
            <w:tcW w:w="1109" w:type="dxa"/>
          </w:tcPr>
          <w:p w:rsidR="00590916" w:rsidRDefault="00921DF8" w:rsidP="00921DF8">
            <w:pPr>
              <w:jc w:val="center"/>
              <w:rPr>
                <w:rFonts w:ascii="Arial" w:hAnsi="Arial" w:cs="Arial"/>
                <w:sz w:val="24"/>
                <w:szCs w:val="24"/>
              </w:rPr>
            </w:pPr>
            <w:r>
              <w:rPr>
                <w:rFonts w:ascii="Arial" w:hAnsi="Arial" w:cs="Arial"/>
                <w:sz w:val="24"/>
                <w:szCs w:val="24"/>
              </w:rPr>
              <w:t>9</w:t>
            </w:r>
            <w:r w:rsidR="004749C7">
              <w:rPr>
                <w:rFonts w:ascii="Arial" w:hAnsi="Arial" w:cs="Arial"/>
                <w:sz w:val="24"/>
                <w:szCs w:val="24"/>
              </w:rPr>
              <w:t>,</w:t>
            </w:r>
            <w:r>
              <w:rPr>
                <w:rFonts w:ascii="Arial" w:hAnsi="Arial" w:cs="Arial"/>
                <w:sz w:val="24"/>
                <w:szCs w:val="24"/>
              </w:rPr>
              <w:t>598</w:t>
            </w:r>
          </w:p>
        </w:tc>
        <w:tc>
          <w:tcPr>
            <w:tcW w:w="1017" w:type="dxa"/>
          </w:tcPr>
          <w:p w:rsidR="00590916" w:rsidRDefault="00921DF8" w:rsidP="00921DF8">
            <w:pPr>
              <w:jc w:val="center"/>
              <w:rPr>
                <w:rFonts w:ascii="Arial" w:hAnsi="Arial" w:cs="Arial"/>
                <w:sz w:val="24"/>
                <w:szCs w:val="24"/>
              </w:rPr>
            </w:pPr>
            <w:r>
              <w:rPr>
                <w:rFonts w:ascii="Arial" w:hAnsi="Arial" w:cs="Arial"/>
                <w:sz w:val="24"/>
                <w:szCs w:val="24"/>
              </w:rPr>
              <w:t>9</w:t>
            </w:r>
            <w:r w:rsidR="004749C7">
              <w:rPr>
                <w:rFonts w:ascii="Arial" w:hAnsi="Arial" w:cs="Arial"/>
                <w:sz w:val="24"/>
                <w:szCs w:val="24"/>
              </w:rPr>
              <w:t>,</w:t>
            </w:r>
            <w:r>
              <w:rPr>
                <w:rFonts w:ascii="Arial" w:hAnsi="Arial" w:cs="Arial"/>
                <w:sz w:val="24"/>
                <w:szCs w:val="24"/>
              </w:rPr>
              <w:t>970</w:t>
            </w:r>
          </w:p>
        </w:tc>
        <w:tc>
          <w:tcPr>
            <w:tcW w:w="1331" w:type="dxa"/>
          </w:tcPr>
          <w:p w:rsidR="00590916" w:rsidRDefault="00921DF8" w:rsidP="00921DF8">
            <w:pPr>
              <w:jc w:val="center"/>
              <w:rPr>
                <w:rFonts w:ascii="Arial" w:hAnsi="Arial" w:cs="Arial"/>
                <w:sz w:val="24"/>
                <w:szCs w:val="24"/>
              </w:rPr>
            </w:pPr>
            <w:r>
              <w:rPr>
                <w:rFonts w:ascii="Arial" w:hAnsi="Arial" w:cs="Arial"/>
                <w:sz w:val="24"/>
                <w:szCs w:val="24"/>
              </w:rPr>
              <w:t>19</w:t>
            </w:r>
            <w:r w:rsidR="004749C7">
              <w:rPr>
                <w:rFonts w:ascii="Arial" w:hAnsi="Arial" w:cs="Arial"/>
                <w:sz w:val="24"/>
                <w:szCs w:val="24"/>
              </w:rPr>
              <w:t>,</w:t>
            </w:r>
            <w:r>
              <w:rPr>
                <w:rFonts w:ascii="Arial" w:hAnsi="Arial" w:cs="Arial"/>
                <w:sz w:val="24"/>
                <w:szCs w:val="24"/>
              </w:rPr>
              <w:t>568</w:t>
            </w:r>
          </w:p>
        </w:tc>
        <w:tc>
          <w:tcPr>
            <w:tcW w:w="1849" w:type="dxa"/>
          </w:tcPr>
          <w:p w:rsidR="00590916" w:rsidRDefault="00921DF8" w:rsidP="00921DF8">
            <w:pPr>
              <w:jc w:val="center"/>
              <w:rPr>
                <w:rFonts w:ascii="Arial" w:hAnsi="Arial" w:cs="Arial"/>
                <w:sz w:val="24"/>
                <w:szCs w:val="24"/>
              </w:rPr>
            </w:pPr>
            <w:r>
              <w:rPr>
                <w:rFonts w:ascii="Arial" w:hAnsi="Arial" w:cs="Arial"/>
                <w:sz w:val="24"/>
                <w:szCs w:val="24"/>
              </w:rPr>
              <w:t>89.10%</w:t>
            </w:r>
          </w:p>
        </w:tc>
      </w:tr>
      <w:tr w:rsidR="00590916" w:rsidTr="00921DF8">
        <w:tc>
          <w:tcPr>
            <w:tcW w:w="3936" w:type="dxa"/>
            <w:shd w:val="clear" w:color="auto" w:fill="FFFFFF" w:themeFill="background1"/>
          </w:tcPr>
          <w:p w:rsidR="00590916" w:rsidRDefault="00590916" w:rsidP="00921DF8">
            <w:pPr>
              <w:rPr>
                <w:rFonts w:ascii="Arial" w:hAnsi="Arial" w:cs="Arial"/>
                <w:sz w:val="24"/>
                <w:szCs w:val="24"/>
              </w:rPr>
            </w:pPr>
            <w:r>
              <w:rPr>
                <w:rFonts w:ascii="Arial" w:hAnsi="Arial" w:cs="Arial"/>
                <w:sz w:val="24"/>
                <w:szCs w:val="24"/>
              </w:rPr>
              <w:t>Black – Caribbean</w:t>
            </w:r>
          </w:p>
          <w:p w:rsidR="00C26FC7" w:rsidRDefault="00C26FC7" w:rsidP="00921DF8">
            <w:pPr>
              <w:rPr>
                <w:rFonts w:ascii="Arial" w:hAnsi="Arial" w:cs="Arial"/>
                <w:sz w:val="24"/>
                <w:szCs w:val="24"/>
              </w:rPr>
            </w:pPr>
          </w:p>
        </w:tc>
        <w:tc>
          <w:tcPr>
            <w:tcW w:w="1109" w:type="dxa"/>
          </w:tcPr>
          <w:p w:rsidR="00590916" w:rsidRDefault="00921DF8" w:rsidP="00921DF8">
            <w:pPr>
              <w:jc w:val="center"/>
              <w:rPr>
                <w:rFonts w:ascii="Arial" w:hAnsi="Arial" w:cs="Arial"/>
                <w:sz w:val="24"/>
                <w:szCs w:val="24"/>
              </w:rPr>
            </w:pPr>
            <w:r>
              <w:rPr>
                <w:rFonts w:ascii="Arial" w:hAnsi="Arial" w:cs="Arial"/>
                <w:sz w:val="24"/>
                <w:szCs w:val="24"/>
              </w:rPr>
              <w:t>28</w:t>
            </w:r>
          </w:p>
        </w:tc>
        <w:tc>
          <w:tcPr>
            <w:tcW w:w="1017" w:type="dxa"/>
          </w:tcPr>
          <w:p w:rsidR="00590916" w:rsidRDefault="00921DF8" w:rsidP="00921DF8">
            <w:pPr>
              <w:jc w:val="center"/>
              <w:rPr>
                <w:rFonts w:ascii="Arial" w:hAnsi="Arial" w:cs="Arial"/>
                <w:sz w:val="24"/>
                <w:szCs w:val="24"/>
              </w:rPr>
            </w:pPr>
            <w:r>
              <w:rPr>
                <w:rFonts w:ascii="Arial" w:hAnsi="Arial" w:cs="Arial"/>
                <w:sz w:val="24"/>
                <w:szCs w:val="24"/>
              </w:rPr>
              <w:t>9</w:t>
            </w:r>
          </w:p>
        </w:tc>
        <w:tc>
          <w:tcPr>
            <w:tcW w:w="1331" w:type="dxa"/>
          </w:tcPr>
          <w:p w:rsidR="00590916" w:rsidRDefault="00921DF8" w:rsidP="00921DF8">
            <w:pPr>
              <w:jc w:val="center"/>
              <w:rPr>
                <w:rFonts w:ascii="Arial" w:hAnsi="Arial" w:cs="Arial"/>
                <w:sz w:val="24"/>
                <w:szCs w:val="24"/>
              </w:rPr>
            </w:pPr>
            <w:r>
              <w:rPr>
                <w:rFonts w:ascii="Arial" w:hAnsi="Arial" w:cs="Arial"/>
                <w:sz w:val="24"/>
                <w:szCs w:val="24"/>
              </w:rPr>
              <w:t>37</w:t>
            </w:r>
          </w:p>
        </w:tc>
        <w:tc>
          <w:tcPr>
            <w:tcW w:w="1849" w:type="dxa"/>
          </w:tcPr>
          <w:p w:rsidR="00590916" w:rsidRDefault="00921DF8" w:rsidP="00921DF8">
            <w:pPr>
              <w:jc w:val="center"/>
              <w:rPr>
                <w:rFonts w:ascii="Arial" w:hAnsi="Arial" w:cs="Arial"/>
                <w:sz w:val="24"/>
                <w:szCs w:val="24"/>
              </w:rPr>
            </w:pPr>
            <w:r>
              <w:rPr>
                <w:rFonts w:ascii="Arial" w:hAnsi="Arial" w:cs="Arial"/>
                <w:sz w:val="24"/>
                <w:szCs w:val="24"/>
              </w:rPr>
              <w:t>0.17%</w:t>
            </w:r>
          </w:p>
        </w:tc>
      </w:tr>
      <w:tr w:rsidR="00590916" w:rsidTr="00921DF8">
        <w:tc>
          <w:tcPr>
            <w:tcW w:w="3936" w:type="dxa"/>
            <w:shd w:val="clear" w:color="auto" w:fill="FFFFFF" w:themeFill="background1"/>
          </w:tcPr>
          <w:p w:rsidR="00590916" w:rsidRDefault="00590916" w:rsidP="00921DF8">
            <w:pPr>
              <w:rPr>
                <w:rFonts w:ascii="Arial" w:hAnsi="Arial" w:cs="Arial"/>
                <w:sz w:val="24"/>
                <w:szCs w:val="24"/>
              </w:rPr>
            </w:pPr>
            <w:r>
              <w:rPr>
                <w:rFonts w:ascii="Arial" w:hAnsi="Arial" w:cs="Arial"/>
                <w:sz w:val="24"/>
                <w:szCs w:val="24"/>
              </w:rPr>
              <w:t>Black – African</w:t>
            </w:r>
          </w:p>
          <w:p w:rsidR="00C26FC7" w:rsidRDefault="00C26FC7" w:rsidP="00921DF8">
            <w:pPr>
              <w:rPr>
                <w:rFonts w:ascii="Arial" w:hAnsi="Arial" w:cs="Arial"/>
                <w:sz w:val="24"/>
                <w:szCs w:val="24"/>
              </w:rPr>
            </w:pPr>
          </w:p>
        </w:tc>
        <w:tc>
          <w:tcPr>
            <w:tcW w:w="1109" w:type="dxa"/>
          </w:tcPr>
          <w:p w:rsidR="00590916" w:rsidRDefault="00921DF8" w:rsidP="00921DF8">
            <w:pPr>
              <w:jc w:val="center"/>
              <w:rPr>
                <w:rFonts w:ascii="Arial" w:hAnsi="Arial" w:cs="Arial"/>
                <w:sz w:val="24"/>
                <w:szCs w:val="24"/>
              </w:rPr>
            </w:pPr>
            <w:r>
              <w:rPr>
                <w:rFonts w:ascii="Arial" w:hAnsi="Arial" w:cs="Arial"/>
                <w:sz w:val="24"/>
                <w:szCs w:val="24"/>
              </w:rPr>
              <w:t>2</w:t>
            </w:r>
          </w:p>
        </w:tc>
        <w:tc>
          <w:tcPr>
            <w:tcW w:w="1017" w:type="dxa"/>
          </w:tcPr>
          <w:p w:rsidR="00590916" w:rsidRDefault="00921DF8" w:rsidP="00921DF8">
            <w:pPr>
              <w:jc w:val="center"/>
              <w:rPr>
                <w:rFonts w:ascii="Arial" w:hAnsi="Arial" w:cs="Arial"/>
                <w:sz w:val="24"/>
                <w:szCs w:val="24"/>
              </w:rPr>
            </w:pPr>
            <w:r>
              <w:rPr>
                <w:rFonts w:ascii="Arial" w:hAnsi="Arial" w:cs="Arial"/>
                <w:sz w:val="24"/>
                <w:szCs w:val="24"/>
              </w:rPr>
              <w:t>2</w:t>
            </w:r>
          </w:p>
        </w:tc>
        <w:tc>
          <w:tcPr>
            <w:tcW w:w="1331" w:type="dxa"/>
          </w:tcPr>
          <w:p w:rsidR="00590916" w:rsidRDefault="00921DF8" w:rsidP="00921DF8">
            <w:pPr>
              <w:jc w:val="center"/>
              <w:rPr>
                <w:rFonts w:ascii="Arial" w:hAnsi="Arial" w:cs="Arial"/>
                <w:sz w:val="24"/>
                <w:szCs w:val="24"/>
              </w:rPr>
            </w:pPr>
            <w:r>
              <w:rPr>
                <w:rFonts w:ascii="Arial" w:hAnsi="Arial" w:cs="Arial"/>
                <w:sz w:val="24"/>
                <w:szCs w:val="24"/>
              </w:rPr>
              <w:t>4</w:t>
            </w:r>
          </w:p>
        </w:tc>
        <w:tc>
          <w:tcPr>
            <w:tcW w:w="1849" w:type="dxa"/>
          </w:tcPr>
          <w:p w:rsidR="00590916" w:rsidRDefault="00921DF8" w:rsidP="00921DF8">
            <w:pPr>
              <w:jc w:val="center"/>
              <w:rPr>
                <w:rFonts w:ascii="Arial" w:hAnsi="Arial" w:cs="Arial"/>
                <w:sz w:val="24"/>
                <w:szCs w:val="24"/>
              </w:rPr>
            </w:pPr>
            <w:r>
              <w:rPr>
                <w:rFonts w:ascii="Arial" w:hAnsi="Arial" w:cs="Arial"/>
                <w:sz w:val="24"/>
                <w:szCs w:val="24"/>
              </w:rPr>
              <w:t>0.02%</w:t>
            </w:r>
          </w:p>
        </w:tc>
      </w:tr>
      <w:tr w:rsidR="00590916" w:rsidTr="00921DF8">
        <w:tc>
          <w:tcPr>
            <w:tcW w:w="3936" w:type="dxa"/>
            <w:shd w:val="clear" w:color="auto" w:fill="FFFFFF" w:themeFill="background1"/>
          </w:tcPr>
          <w:p w:rsidR="00590916" w:rsidRDefault="00590916" w:rsidP="00921DF8">
            <w:pPr>
              <w:rPr>
                <w:rFonts w:ascii="Arial" w:hAnsi="Arial" w:cs="Arial"/>
                <w:sz w:val="24"/>
                <w:szCs w:val="24"/>
              </w:rPr>
            </w:pPr>
            <w:r>
              <w:rPr>
                <w:rFonts w:ascii="Arial" w:hAnsi="Arial" w:cs="Arial"/>
                <w:sz w:val="24"/>
                <w:szCs w:val="24"/>
              </w:rPr>
              <w:t>Other Black Background</w:t>
            </w:r>
          </w:p>
          <w:p w:rsidR="00C26FC7" w:rsidRDefault="00C26FC7" w:rsidP="00921DF8">
            <w:pPr>
              <w:rPr>
                <w:rFonts w:ascii="Arial" w:hAnsi="Arial" w:cs="Arial"/>
                <w:sz w:val="24"/>
                <w:szCs w:val="24"/>
              </w:rPr>
            </w:pPr>
          </w:p>
        </w:tc>
        <w:tc>
          <w:tcPr>
            <w:tcW w:w="1109" w:type="dxa"/>
          </w:tcPr>
          <w:p w:rsidR="00590916" w:rsidRDefault="00921DF8" w:rsidP="00921DF8">
            <w:pPr>
              <w:jc w:val="center"/>
              <w:rPr>
                <w:rFonts w:ascii="Arial" w:hAnsi="Arial" w:cs="Arial"/>
                <w:sz w:val="24"/>
                <w:szCs w:val="24"/>
              </w:rPr>
            </w:pPr>
            <w:r>
              <w:rPr>
                <w:rFonts w:ascii="Arial" w:hAnsi="Arial" w:cs="Arial"/>
                <w:sz w:val="24"/>
                <w:szCs w:val="24"/>
              </w:rPr>
              <w:t>0</w:t>
            </w:r>
          </w:p>
        </w:tc>
        <w:tc>
          <w:tcPr>
            <w:tcW w:w="1017" w:type="dxa"/>
          </w:tcPr>
          <w:p w:rsidR="00590916" w:rsidRDefault="00921DF8" w:rsidP="00921DF8">
            <w:pPr>
              <w:jc w:val="center"/>
              <w:rPr>
                <w:rFonts w:ascii="Arial" w:hAnsi="Arial" w:cs="Arial"/>
                <w:sz w:val="24"/>
                <w:szCs w:val="24"/>
              </w:rPr>
            </w:pPr>
            <w:r>
              <w:rPr>
                <w:rFonts w:ascii="Arial" w:hAnsi="Arial" w:cs="Arial"/>
                <w:sz w:val="24"/>
                <w:szCs w:val="24"/>
              </w:rPr>
              <w:t>3</w:t>
            </w:r>
          </w:p>
        </w:tc>
        <w:tc>
          <w:tcPr>
            <w:tcW w:w="1331" w:type="dxa"/>
          </w:tcPr>
          <w:p w:rsidR="00590916" w:rsidRDefault="00921DF8" w:rsidP="00921DF8">
            <w:pPr>
              <w:jc w:val="center"/>
              <w:rPr>
                <w:rFonts w:ascii="Arial" w:hAnsi="Arial" w:cs="Arial"/>
                <w:sz w:val="24"/>
                <w:szCs w:val="24"/>
              </w:rPr>
            </w:pPr>
            <w:r>
              <w:rPr>
                <w:rFonts w:ascii="Arial" w:hAnsi="Arial" w:cs="Arial"/>
                <w:sz w:val="24"/>
                <w:szCs w:val="24"/>
              </w:rPr>
              <w:t>3</w:t>
            </w:r>
          </w:p>
        </w:tc>
        <w:tc>
          <w:tcPr>
            <w:tcW w:w="1849" w:type="dxa"/>
          </w:tcPr>
          <w:p w:rsidR="00590916" w:rsidRDefault="00921DF8" w:rsidP="00921DF8">
            <w:pPr>
              <w:jc w:val="center"/>
              <w:rPr>
                <w:rFonts w:ascii="Arial" w:hAnsi="Arial" w:cs="Arial"/>
                <w:sz w:val="24"/>
                <w:szCs w:val="24"/>
              </w:rPr>
            </w:pPr>
            <w:r>
              <w:rPr>
                <w:rFonts w:ascii="Arial" w:hAnsi="Arial" w:cs="Arial"/>
                <w:sz w:val="24"/>
                <w:szCs w:val="24"/>
              </w:rPr>
              <w:t>0.01%</w:t>
            </w:r>
          </w:p>
        </w:tc>
      </w:tr>
      <w:tr w:rsidR="00590916" w:rsidTr="00921DF8">
        <w:tc>
          <w:tcPr>
            <w:tcW w:w="3936" w:type="dxa"/>
            <w:shd w:val="clear" w:color="auto" w:fill="FFFFFF" w:themeFill="background1"/>
          </w:tcPr>
          <w:p w:rsidR="00590916" w:rsidRDefault="00590916" w:rsidP="00921DF8">
            <w:pPr>
              <w:rPr>
                <w:rFonts w:ascii="Arial" w:hAnsi="Arial" w:cs="Arial"/>
                <w:sz w:val="24"/>
                <w:szCs w:val="24"/>
              </w:rPr>
            </w:pPr>
            <w:r>
              <w:rPr>
                <w:rFonts w:ascii="Arial" w:hAnsi="Arial" w:cs="Arial"/>
                <w:sz w:val="24"/>
                <w:szCs w:val="24"/>
              </w:rPr>
              <w:t>Asian – Indian</w:t>
            </w:r>
          </w:p>
          <w:p w:rsidR="00C26FC7" w:rsidRDefault="00C26FC7" w:rsidP="00921DF8">
            <w:pPr>
              <w:rPr>
                <w:rFonts w:ascii="Arial" w:hAnsi="Arial" w:cs="Arial"/>
                <w:sz w:val="24"/>
                <w:szCs w:val="24"/>
              </w:rPr>
            </w:pPr>
          </w:p>
        </w:tc>
        <w:tc>
          <w:tcPr>
            <w:tcW w:w="1109" w:type="dxa"/>
          </w:tcPr>
          <w:p w:rsidR="00590916" w:rsidRDefault="00921DF8" w:rsidP="00921DF8">
            <w:pPr>
              <w:jc w:val="center"/>
              <w:rPr>
                <w:rFonts w:ascii="Arial" w:hAnsi="Arial" w:cs="Arial"/>
                <w:sz w:val="24"/>
                <w:szCs w:val="24"/>
              </w:rPr>
            </w:pPr>
            <w:r>
              <w:rPr>
                <w:rFonts w:ascii="Arial" w:hAnsi="Arial" w:cs="Arial"/>
                <w:sz w:val="24"/>
                <w:szCs w:val="24"/>
              </w:rPr>
              <w:t>6</w:t>
            </w:r>
          </w:p>
        </w:tc>
        <w:tc>
          <w:tcPr>
            <w:tcW w:w="1017" w:type="dxa"/>
          </w:tcPr>
          <w:p w:rsidR="00590916" w:rsidRDefault="00921DF8" w:rsidP="00921DF8">
            <w:pPr>
              <w:jc w:val="center"/>
              <w:rPr>
                <w:rFonts w:ascii="Arial" w:hAnsi="Arial" w:cs="Arial"/>
                <w:sz w:val="24"/>
                <w:szCs w:val="24"/>
              </w:rPr>
            </w:pPr>
            <w:r>
              <w:rPr>
                <w:rFonts w:ascii="Arial" w:hAnsi="Arial" w:cs="Arial"/>
                <w:sz w:val="24"/>
                <w:szCs w:val="24"/>
              </w:rPr>
              <w:t>18</w:t>
            </w:r>
          </w:p>
        </w:tc>
        <w:tc>
          <w:tcPr>
            <w:tcW w:w="1331" w:type="dxa"/>
          </w:tcPr>
          <w:p w:rsidR="00590916" w:rsidRDefault="00921DF8" w:rsidP="00921DF8">
            <w:pPr>
              <w:jc w:val="center"/>
              <w:rPr>
                <w:rFonts w:ascii="Arial" w:hAnsi="Arial" w:cs="Arial"/>
                <w:sz w:val="24"/>
                <w:szCs w:val="24"/>
              </w:rPr>
            </w:pPr>
            <w:r>
              <w:rPr>
                <w:rFonts w:ascii="Arial" w:hAnsi="Arial" w:cs="Arial"/>
                <w:sz w:val="24"/>
                <w:szCs w:val="24"/>
              </w:rPr>
              <w:t>24</w:t>
            </w:r>
          </w:p>
        </w:tc>
        <w:tc>
          <w:tcPr>
            <w:tcW w:w="1849" w:type="dxa"/>
          </w:tcPr>
          <w:p w:rsidR="00590916" w:rsidRDefault="00921DF8" w:rsidP="00921DF8">
            <w:pPr>
              <w:jc w:val="center"/>
              <w:rPr>
                <w:rFonts w:ascii="Arial" w:hAnsi="Arial" w:cs="Arial"/>
                <w:sz w:val="24"/>
                <w:szCs w:val="24"/>
              </w:rPr>
            </w:pPr>
            <w:r>
              <w:rPr>
                <w:rFonts w:ascii="Arial" w:hAnsi="Arial" w:cs="Arial"/>
                <w:sz w:val="24"/>
                <w:szCs w:val="24"/>
              </w:rPr>
              <w:t>0.11%</w:t>
            </w:r>
          </w:p>
        </w:tc>
      </w:tr>
      <w:tr w:rsidR="00590916" w:rsidTr="00921DF8">
        <w:tc>
          <w:tcPr>
            <w:tcW w:w="3936" w:type="dxa"/>
            <w:shd w:val="clear" w:color="auto" w:fill="FFFFFF" w:themeFill="background1"/>
          </w:tcPr>
          <w:p w:rsidR="00590916" w:rsidRDefault="00590916" w:rsidP="00921DF8">
            <w:pPr>
              <w:rPr>
                <w:rFonts w:ascii="Arial" w:hAnsi="Arial" w:cs="Arial"/>
                <w:sz w:val="24"/>
                <w:szCs w:val="24"/>
              </w:rPr>
            </w:pPr>
            <w:r>
              <w:rPr>
                <w:rFonts w:ascii="Arial" w:hAnsi="Arial" w:cs="Arial"/>
                <w:sz w:val="24"/>
                <w:szCs w:val="24"/>
              </w:rPr>
              <w:t>Asian – Pakistani</w:t>
            </w:r>
          </w:p>
          <w:p w:rsidR="00C26FC7" w:rsidRDefault="00C26FC7" w:rsidP="00921DF8">
            <w:pPr>
              <w:rPr>
                <w:rFonts w:ascii="Arial" w:hAnsi="Arial" w:cs="Arial"/>
                <w:sz w:val="24"/>
                <w:szCs w:val="24"/>
              </w:rPr>
            </w:pPr>
          </w:p>
        </w:tc>
        <w:tc>
          <w:tcPr>
            <w:tcW w:w="1109" w:type="dxa"/>
          </w:tcPr>
          <w:p w:rsidR="00590916" w:rsidRDefault="00921DF8" w:rsidP="00921DF8">
            <w:pPr>
              <w:jc w:val="center"/>
              <w:rPr>
                <w:rFonts w:ascii="Arial" w:hAnsi="Arial" w:cs="Arial"/>
                <w:sz w:val="24"/>
                <w:szCs w:val="24"/>
              </w:rPr>
            </w:pPr>
            <w:r>
              <w:rPr>
                <w:rFonts w:ascii="Arial" w:hAnsi="Arial" w:cs="Arial"/>
                <w:sz w:val="24"/>
                <w:szCs w:val="24"/>
              </w:rPr>
              <w:t>19</w:t>
            </w:r>
          </w:p>
        </w:tc>
        <w:tc>
          <w:tcPr>
            <w:tcW w:w="1017" w:type="dxa"/>
          </w:tcPr>
          <w:p w:rsidR="00590916" w:rsidRDefault="00921DF8" w:rsidP="00921DF8">
            <w:pPr>
              <w:jc w:val="center"/>
              <w:rPr>
                <w:rFonts w:ascii="Arial" w:hAnsi="Arial" w:cs="Arial"/>
                <w:sz w:val="24"/>
                <w:szCs w:val="24"/>
              </w:rPr>
            </w:pPr>
            <w:r>
              <w:rPr>
                <w:rFonts w:ascii="Arial" w:hAnsi="Arial" w:cs="Arial"/>
                <w:sz w:val="24"/>
                <w:szCs w:val="24"/>
              </w:rPr>
              <w:t>13</w:t>
            </w:r>
          </w:p>
        </w:tc>
        <w:tc>
          <w:tcPr>
            <w:tcW w:w="1331" w:type="dxa"/>
          </w:tcPr>
          <w:p w:rsidR="00590916" w:rsidRDefault="00921DF8" w:rsidP="00921DF8">
            <w:pPr>
              <w:jc w:val="center"/>
              <w:rPr>
                <w:rFonts w:ascii="Arial" w:hAnsi="Arial" w:cs="Arial"/>
                <w:sz w:val="24"/>
                <w:szCs w:val="24"/>
              </w:rPr>
            </w:pPr>
            <w:r>
              <w:rPr>
                <w:rFonts w:ascii="Arial" w:hAnsi="Arial" w:cs="Arial"/>
                <w:sz w:val="24"/>
                <w:szCs w:val="24"/>
              </w:rPr>
              <w:t>32</w:t>
            </w:r>
          </w:p>
        </w:tc>
        <w:tc>
          <w:tcPr>
            <w:tcW w:w="1849" w:type="dxa"/>
          </w:tcPr>
          <w:p w:rsidR="00590916" w:rsidRDefault="00921DF8" w:rsidP="00921DF8">
            <w:pPr>
              <w:jc w:val="center"/>
              <w:rPr>
                <w:rFonts w:ascii="Arial" w:hAnsi="Arial" w:cs="Arial"/>
                <w:sz w:val="24"/>
                <w:szCs w:val="24"/>
              </w:rPr>
            </w:pPr>
            <w:r>
              <w:rPr>
                <w:rFonts w:ascii="Arial" w:hAnsi="Arial" w:cs="Arial"/>
                <w:sz w:val="24"/>
                <w:szCs w:val="24"/>
              </w:rPr>
              <w:t>0.15%</w:t>
            </w:r>
          </w:p>
        </w:tc>
      </w:tr>
      <w:tr w:rsidR="00590916" w:rsidTr="00921DF8">
        <w:tc>
          <w:tcPr>
            <w:tcW w:w="3936" w:type="dxa"/>
            <w:shd w:val="clear" w:color="auto" w:fill="FFFFFF" w:themeFill="background1"/>
          </w:tcPr>
          <w:p w:rsidR="00590916" w:rsidRDefault="00590916" w:rsidP="00921DF8">
            <w:pPr>
              <w:rPr>
                <w:rFonts w:ascii="Arial" w:hAnsi="Arial" w:cs="Arial"/>
                <w:sz w:val="24"/>
                <w:szCs w:val="24"/>
              </w:rPr>
            </w:pPr>
            <w:r>
              <w:rPr>
                <w:rFonts w:ascii="Arial" w:hAnsi="Arial" w:cs="Arial"/>
                <w:sz w:val="24"/>
                <w:szCs w:val="24"/>
              </w:rPr>
              <w:t>Asian – Bangladeshi</w:t>
            </w:r>
          </w:p>
          <w:p w:rsidR="00C26FC7" w:rsidRDefault="00C26FC7" w:rsidP="00921DF8">
            <w:pPr>
              <w:rPr>
                <w:rFonts w:ascii="Arial" w:hAnsi="Arial" w:cs="Arial"/>
                <w:sz w:val="24"/>
                <w:szCs w:val="24"/>
              </w:rPr>
            </w:pPr>
          </w:p>
        </w:tc>
        <w:tc>
          <w:tcPr>
            <w:tcW w:w="1109" w:type="dxa"/>
          </w:tcPr>
          <w:p w:rsidR="00590916" w:rsidRDefault="00921DF8" w:rsidP="00921DF8">
            <w:pPr>
              <w:jc w:val="center"/>
              <w:rPr>
                <w:rFonts w:ascii="Arial" w:hAnsi="Arial" w:cs="Arial"/>
                <w:sz w:val="24"/>
                <w:szCs w:val="24"/>
              </w:rPr>
            </w:pPr>
            <w:r>
              <w:rPr>
                <w:rFonts w:ascii="Arial" w:hAnsi="Arial" w:cs="Arial"/>
                <w:sz w:val="24"/>
                <w:szCs w:val="24"/>
              </w:rPr>
              <w:t>44</w:t>
            </w:r>
          </w:p>
        </w:tc>
        <w:tc>
          <w:tcPr>
            <w:tcW w:w="1017" w:type="dxa"/>
          </w:tcPr>
          <w:p w:rsidR="00590916" w:rsidRDefault="00921DF8" w:rsidP="00921DF8">
            <w:pPr>
              <w:jc w:val="center"/>
              <w:rPr>
                <w:rFonts w:ascii="Arial" w:hAnsi="Arial" w:cs="Arial"/>
                <w:sz w:val="24"/>
                <w:szCs w:val="24"/>
              </w:rPr>
            </w:pPr>
            <w:r>
              <w:rPr>
                <w:rFonts w:ascii="Arial" w:hAnsi="Arial" w:cs="Arial"/>
                <w:sz w:val="24"/>
                <w:szCs w:val="24"/>
              </w:rPr>
              <w:t>46</w:t>
            </w:r>
          </w:p>
        </w:tc>
        <w:tc>
          <w:tcPr>
            <w:tcW w:w="1331" w:type="dxa"/>
          </w:tcPr>
          <w:p w:rsidR="00590916" w:rsidRDefault="00921DF8" w:rsidP="00921DF8">
            <w:pPr>
              <w:jc w:val="center"/>
              <w:rPr>
                <w:rFonts w:ascii="Arial" w:hAnsi="Arial" w:cs="Arial"/>
                <w:sz w:val="24"/>
                <w:szCs w:val="24"/>
              </w:rPr>
            </w:pPr>
            <w:r>
              <w:rPr>
                <w:rFonts w:ascii="Arial" w:hAnsi="Arial" w:cs="Arial"/>
                <w:sz w:val="24"/>
                <w:szCs w:val="24"/>
              </w:rPr>
              <w:t>90</w:t>
            </w:r>
          </w:p>
        </w:tc>
        <w:tc>
          <w:tcPr>
            <w:tcW w:w="1849" w:type="dxa"/>
          </w:tcPr>
          <w:p w:rsidR="00590916" w:rsidRDefault="00921DF8" w:rsidP="00921DF8">
            <w:pPr>
              <w:jc w:val="center"/>
              <w:rPr>
                <w:rFonts w:ascii="Arial" w:hAnsi="Arial" w:cs="Arial"/>
                <w:sz w:val="24"/>
                <w:szCs w:val="24"/>
              </w:rPr>
            </w:pPr>
            <w:r>
              <w:rPr>
                <w:rFonts w:ascii="Arial" w:hAnsi="Arial" w:cs="Arial"/>
                <w:sz w:val="24"/>
                <w:szCs w:val="24"/>
              </w:rPr>
              <w:t>0.41%</w:t>
            </w:r>
          </w:p>
        </w:tc>
      </w:tr>
      <w:tr w:rsidR="00590916" w:rsidTr="00921DF8">
        <w:tc>
          <w:tcPr>
            <w:tcW w:w="3936" w:type="dxa"/>
            <w:shd w:val="clear" w:color="auto" w:fill="FFFFFF" w:themeFill="background1"/>
          </w:tcPr>
          <w:p w:rsidR="00590916" w:rsidRDefault="00590916" w:rsidP="00921DF8">
            <w:pPr>
              <w:rPr>
                <w:rFonts w:ascii="Arial" w:hAnsi="Arial" w:cs="Arial"/>
                <w:sz w:val="24"/>
                <w:szCs w:val="24"/>
              </w:rPr>
            </w:pPr>
            <w:r>
              <w:rPr>
                <w:rFonts w:ascii="Arial" w:hAnsi="Arial" w:cs="Arial"/>
                <w:sz w:val="24"/>
                <w:szCs w:val="24"/>
              </w:rPr>
              <w:t>Chinese</w:t>
            </w:r>
          </w:p>
          <w:p w:rsidR="00C26FC7" w:rsidRDefault="00C26FC7" w:rsidP="00921DF8">
            <w:pPr>
              <w:rPr>
                <w:rFonts w:ascii="Arial" w:hAnsi="Arial" w:cs="Arial"/>
                <w:sz w:val="24"/>
                <w:szCs w:val="24"/>
              </w:rPr>
            </w:pPr>
          </w:p>
        </w:tc>
        <w:tc>
          <w:tcPr>
            <w:tcW w:w="1109" w:type="dxa"/>
          </w:tcPr>
          <w:p w:rsidR="00590916" w:rsidRDefault="00921DF8" w:rsidP="00921DF8">
            <w:pPr>
              <w:jc w:val="center"/>
              <w:rPr>
                <w:rFonts w:ascii="Arial" w:hAnsi="Arial" w:cs="Arial"/>
                <w:sz w:val="24"/>
                <w:szCs w:val="24"/>
              </w:rPr>
            </w:pPr>
            <w:r>
              <w:rPr>
                <w:rFonts w:ascii="Arial" w:hAnsi="Arial" w:cs="Arial"/>
                <w:sz w:val="24"/>
                <w:szCs w:val="24"/>
              </w:rPr>
              <w:t>24</w:t>
            </w:r>
          </w:p>
        </w:tc>
        <w:tc>
          <w:tcPr>
            <w:tcW w:w="1017" w:type="dxa"/>
          </w:tcPr>
          <w:p w:rsidR="00590916" w:rsidRDefault="00921DF8" w:rsidP="00921DF8">
            <w:pPr>
              <w:jc w:val="center"/>
              <w:rPr>
                <w:rFonts w:ascii="Arial" w:hAnsi="Arial" w:cs="Arial"/>
                <w:sz w:val="24"/>
                <w:szCs w:val="24"/>
              </w:rPr>
            </w:pPr>
            <w:r>
              <w:rPr>
                <w:rFonts w:ascii="Arial" w:hAnsi="Arial" w:cs="Arial"/>
                <w:sz w:val="24"/>
                <w:szCs w:val="24"/>
              </w:rPr>
              <w:t>21</w:t>
            </w:r>
          </w:p>
        </w:tc>
        <w:tc>
          <w:tcPr>
            <w:tcW w:w="1331" w:type="dxa"/>
          </w:tcPr>
          <w:p w:rsidR="00590916" w:rsidRDefault="00921DF8" w:rsidP="00921DF8">
            <w:pPr>
              <w:jc w:val="center"/>
              <w:rPr>
                <w:rFonts w:ascii="Arial" w:hAnsi="Arial" w:cs="Arial"/>
                <w:sz w:val="24"/>
                <w:szCs w:val="24"/>
              </w:rPr>
            </w:pPr>
            <w:r>
              <w:rPr>
                <w:rFonts w:ascii="Arial" w:hAnsi="Arial" w:cs="Arial"/>
                <w:sz w:val="24"/>
                <w:szCs w:val="24"/>
              </w:rPr>
              <w:t>45</w:t>
            </w:r>
          </w:p>
        </w:tc>
        <w:tc>
          <w:tcPr>
            <w:tcW w:w="1849" w:type="dxa"/>
          </w:tcPr>
          <w:p w:rsidR="00590916" w:rsidRDefault="00921DF8" w:rsidP="00921DF8">
            <w:pPr>
              <w:jc w:val="center"/>
              <w:rPr>
                <w:rFonts w:ascii="Arial" w:hAnsi="Arial" w:cs="Arial"/>
                <w:sz w:val="24"/>
                <w:szCs w:val="24"/>
              </w:rPr>
            </w:pPr>
            <w:r>
              <w:rPr>
                <w:rFonts w:ascii="Arial" w:hAnsi="Arial" w:cs="Arial"/>
                <w:sz w:val="24"/>
                <w:szCs w:val="24"/>
              </w:rPr>
              <w:t>0.20%</w:t>
            </w:r>
          </w:p>
        </w:tc>
      </w:tr>
      <w:tr w:rsidR="00590916" w:rsidTr="00921DF8">
        <w:tc>
          <w:tcPr>
            <w:tcW w:w="3936" w:type="dxa"/>
            <w:shd w:val="clear" w:color="auto" w:fill="FFFFFF" w:themeFill="background1"/>
          </w:tcPr>
          <w:p w:rsidR="00590916" w:rsidRDefault="00590916" w:rsidP="00921DF8">
            <w:pPr>
              <w:rPr>
                <w:rFonts w:ascii="Arial" w:hAnsi="Arial" w:cs="Arial"/>
                <w:sz w:val="24"/>
                <w:szCs w:val="24"/>
              </w:rPr>
            </w:pPr>
            <w:r>
              <w:rPr>
                <w:rFonts w:ascii="Arial" w:hAnsi="Arial" w:cs="Arial"/>
                <w:sz w:val="24"/>
                <w:szCs w:val="24"/>
              </w:rPr>
              <w:t>Other Asian Background</w:t>
            </w:r>
          </w:p>
          <w:p w:rsidR="00C26FC7" w:rsidRDefault="00C26FC7" w:rsidP="00921DF8">
            <w:pPr>
              <w:rPr>
                <w:rFonts w:ascii="Arial" w:hAnsi="Arial" w:cs="Arial"/>
                <w:sz w:val="24"/>
                <w:szCs w:val="24"/>
              </w:rPr>
            </w:pPr>
          </w:p>
        </w:tc>
        <w:tc>
          <w:tcPr>
            <w:tcW w:w="1109" w:type="dxa"/>
          </w:tcPr>
          <w:p w:rsidR="00590916" w:rsidRDefault="00921DF8" w:rsidP="00921DF8">
            <w:pPr>
              <w:jc w:val="center"/>
              <w:rPr>
                <w:rFonts w:ascii="Arial" w:hAnsi="Arial" w:cs="Arial"/>
                <w:sz w:val="24"/>
                <w:szCs w:val="24"/>
              </w:rPr>
            </w:pPr>
            <w:r>
              <w:rPr>
                <w:rFonts w:ascii="Arial" w:hAnsi="Arial" w:cs="Arial"/>
                <w:sz w:val="24"/>
                <w:szCs w:val="24"/>
              </w:rPr>
              <w:t>25</w:t>
            </w:r>
          </w:p>
        </w:tc>
        <w:tc>
          <w:tcPr>
            <w:tcW w:w="1017" w:type="dxa"/>
          </w:tcPr>
          <w:p w:rsidR="00590916" w:rsidRDefault="00921DF8" w:rsidP="00921DF8">
            <w:pPr>
              <w:jc w:val="center"/>
              <w:rPr>
                <w:rFonts w:ascii="Arial" w:hAnsi="Arial" w:cs="Arial"/>
                <w:sz w:val="24"/>
                <w:szCs w:val="24"/>
              </w:rPr>
            </w:pPr>
            <w:r>
              <w:rPr>
                <w:rFonts w:ascii="Arial" w:hAnsi="Arial" w:cs="Arial"/>
                <w:sz w:val="24"/>
                <w:szCs w:val="24"/>
              </w:rPr>
              <w:t>104</w:t>
            </w:r>
          </w:p>
        </w:tc>
        <w:tc>
          <w:tcPr>
            <w:tcW w:w="1331" w:type="dxa"/>
          </w:tcPr>
          <w:p w:rsidR="00590916" w:rsidRDefault="00921DF8" w:rsidP="00921DF8">
            <w:pPr>
              <w:jc w:val="center"/>
              <w:rPr>
                <w:rFonts w:ascii="Arial" w:hAnsi="Arial" w:cs="Arial"/>
                <w:sz w:val="24"/>
                <w:szCs w:val="24"/>
              </w:rPr>
            </w:pPr>
            <w:r>
              <w:rPr>
                <w:rFonts w:ascii="Arial" w:hAnsi="Arial" w:cs="Arial"/>
                <w:sz w:val="24"/>
                <w:szCs w:val="24"/>
              </w:rPr>
              <w:t>129</w:t>
            </w:r>
          </w:p>
        </w:tc>
        <w:tc>
          <w:tcPr>
            <w:tcW w:w="1849" w:type="dxa"/>
          </w:tcPr>
          <w:p w:rsidR="00590916" w:rsidRDefault="00921DF8" w:rsidP="00921DF8">
            <w:pPr>
              <w:jc w:val="center"/>
              <w:rPr>
                <w:rFonts w:ascii="Arial" w:hAnsi="Arial" w:cs="Arial"/>
                <w:sz w:val="24"/>
                <w:szCs w:val="24"/>
              </w:rPr>
            </w:pPr>
            <w:r>
              <w:rPr>
                <w:rFonts w:ascii="Arial" w:hAnsi="Arial" w:cs="Arial"/>
                <w:sz w:val="24"/>
                <w:szCs w:val="24"/>
              </w:rPr>
              <w:t>0.59%</w:t>
            </w:r>
          </w:p>
        </w:tc>
      </w:tr>
      <w:tr w:rsidR="00590916" w:rsidTr="00921DF8">
        <w:tc>
          <w:tcPr>
            <w:tcW w:w="3936" w:type="dxa"/>
            <w:shd w:val="clear" w:color="auto" w:fill="FFFFFF" w:themeFill="background1"/>
          </w:tcPr>
          <w:p w:rsidR="00590916" w:rsidRDefault="00590916" w:rsidP="00921DF8">
            <w:pPr>
              <w:rPr>
                <w:rFonts w:ascii="Arial" w:hAnsi="Arial" w:cs="Arial"/>
                <w:sz w:val="24"/>
                <w:szCs w:val="24"/>
              </w:rPr>
            </w:pPr>
            <w:r>
              <w:rPr>
                <w:rFonts w:ascii="Arial" w:hAnsi="Arial" w:cs="Arial"/>
                <w:sz w:val="24"/>
                <w:szCs w:val="24"/>
              </w:rPr>
              <w:t>Mixed – White&amp; Black Caribbean</w:t>
            </w:r>
          </w:p>
          <w:p w:rsidR="00C26FC7" w:rsidRDefault="00C26FC7" w:rsidP="00921DF8">
            <w:pPr>
              <w:rPr>
                <w:rFonts w:ascii="Arial" w:hAnsi="Arial" w:cs="Arial"/>
                <w:sz w:val="24"/>
                <w:szCs w:val="24"/>
              </w:rPr>
            </w:pPr>
          </w:p>
        </w:tc>
        <w:tc>
          <w:tcPr>
            <w:tcW w:w="1109" w:type="dxa"/>
          </w:tcPr>
          <w:p w:rsidR="00590916" w:rsidRDefault="00921DF8" w:rsidP="00921DF8">
            <w:pPr>
              <w:jc w:val="center"/>
              <w:rPr>
                <w:rFonts w:ascii="Arial" w:hAnsi="Arial" w:cs="Arial"/>
                <w:sz w:val="24"/>
                <w:szCs w:val="24"/>
              </w:rPr>
            </w:pPr>
            <w:r>
              <w:rPr>
                <w:rFonts w:ascii="Arial" w:hAnsi="Arial" w:cs="Arial"/>
                <w:sz w:val="24"/>
                <w:szCs w:val="24"/>
              </w:rPr>
              <w:t>31</w:t>
            </w:r>
          </w:p>
        </w:tc>
        <w:tc>
          <w:tcPr>
            <w:tcW w:w="1017" w:type="dxa"/>
          </w:tcPr>
          <w:p w:rsidR="00590916" w:rsidRDefault="00921DF8" w:rsidP="00921DF8">
            <w:pPr>
              <w:jc w:val="center"/>
              <w:rPr>
                <w:rFonts w:ascii="Arial" w:hAnsi="Arial" w:cs="Arial"/>
                <w:sz w:val="24"/>
                <w:szCs w:val="24"/>
              </w:rPr>
            </w:pPr>
            <w:r>
              <w:rPr>
                <w:rFonts w:ascii="Arial" w:hAnsi="Arial" w:cs="Arial"/>
                <w:sz w:val="24"/>
                <w:szCs w:val="24"/>
              </w:rPr>
              <w:t>4</w:t>
            </w:r>
          </w:p>
        </w:tc>
        <w:tc>
          <w:tcPr>
            <w:tcW w:w="1331" w:type="dxa"/>
          </w:tcPr>
          <w:p w:rsidR="00590916" w:rsidRDefault="00921DF8" w:rsidP="00921DF8">
            <w:pPr>
              <w:jc w:val="center"/>
              <w:rPr>
                <w:rFonts w:ascii="Arial" w:hAnsi="Arial" w:cs="Arial"/>
                <w:sz w:val="24"/>
                <w:szCs w:val="24"/>
              </w:rPr>
            </w:pPr>
            <w:r>
              <w:rPr>
                <w:rFonts w:ascii="Arial" w:hAnsi="Arial" w:cs="Arial"/>
                <w:sz w:val="24"/>
                <w:szCs w:val="24"/>
              </w:rPr>
              <w:t>35</w:t>
            </w:r>
          </w:p>
        </w:tc>
        <w:tc>
          <w:tcPr>
            <w:tcW w:w="1849" w:type="dxa"/>
          </w:tcPr>
          <w:p w:rsidR="00590916" w:rsidRDefault="00921DF8" w:rsidP="00921DF8">
            <w:pPr>
              <w:jc w:val="center"/>
              <w:rPr>
                <w:rFonts w:ascii="Arial" w:hAnsi="Arial" w:cs="Arial"/>
                <w:sz w:val="24"/>
                <w:szCs w:val="24"/>
              </w:rPr>
            </w:pPr>
            <w:r>
              <w:rPr>
                <w:rFonts w:ascii="Arial" w:hAnsi="Arial" w:cs="Arial"/>
                <w:sz w:val="24"/>
                <w:szCs w:val="24"/>
              </w:rPr>
              <w:t>0.16%</w:t>
            </w:r>
          </w:p>
        </w:tc>
      </w:tr>
      <w:tr w:rsidR="00590916" w:rsidTr="00921DF8">
        <w:tc>
          <w:tcPr>
            <w:tcW w:w="3936" w:type="dxa"/>
            <w:shd w:val="clear" w:color="auto" w:fill="FFFFFF" w:themeFill="background1"/>
          </w:tcPr>
          <w:p w:rsidR="00590916" w:rsidRDefault="00590916" w:rsidP="00921DF8">
            <w:pPr>
              <w:rPr>
                <w:rFonts w:ascii="Arial" w:hAnsi="Arial" w:cs="Arial"/>
                <w:sz w:val="24"/>
                <w:szCs w:val="24"/>
              </w:rPr>
            </w:pPr>
            <w:r>
              <w:rPr>
                <w:rFonts w:ascii="Arial" w:hAnsi="Arial" w:cs="Arial"/>
                <w:sz w:val="24"/>
                <w:szCs w:val="24"/>
              </w:rPr>
              <w:t>Mixed – White &amp; Black African</w:t>
            </w:r>
          </w:p>
          <w:p w:rsidR="00C26FC7" w:rsidRDefault="00C26FC7" w:rsidP="00921DF8">
            <w:pPr>
              <w:rPr>
                <w:rFonts w:ascii="Arial" w:hAnsi="Arial" w:cs="Arial"/>
                <w:sz w:val="24"/>
                <w:szCs w:val="24"/>
              </w:rPr>
            </w:pPr>
          </w:p>
        </w:tc>
        <w:tc>
          <w:tcPr>
            <w:tcW w:w="1109" w:type="dxa"/>
          </w:tcPr>
          <w:p w:rsidR="00590916" w:rsidRDefault="00921DF8" w:rsidP="00921DF8">
            <w:pPr>
              <w:jc w:val="center"/>
              <w:rPr>
                <w:rFonts w:ascii="Arial" w:hAnsi="Arial" w:cs="Arial"/>
                <w:sz w:val="24"/>
                <w:szCs w:val="24"/>
              </w:rPr>
            </w:pPr>
            <w:r>
              <w:rPr>
                <w:rFonts w:ascii="Arial" w:hAnsi="Arial" w:cs="Arial"/>
                <w:sz w:val="24"/>
                <w:szCs w:val="24"/>
              </w:rPr>
              <w:t>0</w:t>
            </w:r>
          </w:p>
        </w:tc>
        <w:tc>
          <w:tcPr>
            <w:tcW w:w="1017" w:type="dxa"/>
          </w:tcPr>
          <w:p w:rsidR="00590916" w:rsidRDefault="00921DF8" w:rsidP="00921DF8">
            <w:pPr>
              <w:jc w:val="center"/>
              <w:rPr>
                <w:rFonts w:ascii="Arial" w:hAnsi="Arial" w:cs="Arial"/>
                <w:sz w:val="24"/>
                <w:szCs w:val="24"/>
              </w:rPr>
            </w:pPr>
            <w:r>
              <w:rPr>
                <w:rFonts w:ascii="Arial" w:hAnsi="Arial" w:cs="Arial"/>
                <w:sz w:val="24"/>
                <w:szCs w:val="24"/>
              </w:rPr>
              <w:t>5</w:t>
            </w:r>
          </w:p>
        </w:tc>
        <w:tc>
          <w:tcPr>
            <w:tcW w:w="1331" w:type="dxa"/>
          </w:tcPr>
          <w:p w:rsidR="00590916" w:rsidRDefault="00921DF8" w:rsidP="00921DF8">
            <w:pPr>
              <w:jc w:val="center"/>
              <w:rPr>
                <w:rFonts w:ascii="Arial" w:hAnsi="Arial" w:cs="Arial"/>
                <w:sz w:val="24"/>
                <w:szCs w:val="24"/>
              </w:rPr>
            </w:pPr>
            <w:r>
              <w:rPr>
                <w:rFonts w:ascii="Arial" w:hAnsi="Arial" w:cs="Arial"/>
                <w:sz w:val="24"/>
                <w:szCs w:val="24"/>
              </w:rPr>
              <w:t>5</w:t>
            </w:r>
          </w:p>
        </w:tc>
        <w:tc>
          <w:tcPr>
            <w:tcW w:w="1849" w:type="dxa"/>
          </w:tcPr>
          <w:p w:rsidR="00590916" w:rsidRDefault="00921DF8" w:rsidP="00921DF8">
            <w:pPr>
              <w:jc w:val="center"/>
              <w:rPr>
                <w:rFonts w:ascii="Arial" w:hAnsi="Arial" w:cs="Arial"/>
                <w:sz w:val="24"/>
                <w:szCs w:val="24"/>
              </w:rPr>
            </w:pPr>
            <w:r>
              <w:rPr>
                <w:rFonts w:ascii="Arial" w:hAnsi="Arial" w:cs="Arial"/>
                <w:sz w:val="24"/>
                <w:szCs w:val="24"/>
              </w:rPr>
              <w:t>0.02%</w:t>
            </w:r>
          </w:p>
        </w:tc>
      </w:tr>
      <w:tr w:rsidR="00590916" w:rsidTr="00921DF8">
        <w:tc>
          <w:tcPr>
            <w:tcW w:w="3936" w:type="dxa"/>
            <w:shd w:val="clear" w:color="auto" w:fill="FFFFFF" w:themeFill="background1"/>
          </w:tcPr>
          <w:p w:rsidR="00590916" w:rsidRDefault="00590916" w:rsidP="00921DF8">
            <w:pPr>
              <w:rPr>
                <w:rFonts w:ascii="Arial" w:hAnsi="Arial" w:cs="Arial"/>
                <w:sz w:val="24"/>
                <w:szCs w:val="24"/>
              </w:rPr>
            </w:pPr>
            <w:r>
              <w:rPr>
                <w:rFonts w:ascii="Arial" w:hAnsi="Arial" w:cs="Arial"/>
                <w:sz w:val="24"/>
                <w:szCs w:val="24"/>
              </w:rPr>
              <w:t>Mixed – White &amp; Asian</w:t>
            </w:r>
          </w:p>
          <w:p w:rsidR="00C26FC7" w:rsidRDefault="00C26FC7" w:rsidP="00921DF8">
            <w:pPr>
              <w:rPr>
                <w:rFonts w:ascii="Arial" w:hAnsi="Arial" w:cs="Arial"/>
                <w:sz w:val="24"/>
                <w:szCs w:val="24"/>
              </w:rPr>
            </w:pPr>
          </w:p>
        </w:tc>
        <w:tc>
          <w:tcPr>
            <w:tcW w:w="1109" w:type="dxa"/>
          </w:tcPr>
          <w:p w:rsidR="00590916" w:rsidRDefault="00921DF8" w:rsidP="00921DF8">
            <w:pPr>
              <w:jc w:val="center"/>
              <w:rPr>
                <w:rFonts w:ascii="Arial" w:hAnsi="Arial" w:cs="Arial"/>
                <w:sz w:val="24"/>
                <w:szCs w:val="24"/>
              </w:rPr>
            </w:pPr>
            <w:r>
              <w:rPr>
                <w:rFonts w:ascii="Arial" w:hAnsi="Arial" w:cs="Arial"/>
                <w:sz w:val="24"/>
                <w:szCs w:val="24"/>
              </w:rPr>
              <w:t>27</w:t>
            </w:r>
          </w:p>
        </w:tc>
        <w:tc>
          <w:tcPr>
            <w:tcW w:w="1017" w:type="dxa"/>
          </w:tcPr>
          <w:p w:rsidR="00590916" w:rsidRDefault="00921DF8" w:rsidP="00921DF8">
            <w:pPr>
              <w:jc w:val="center"/>
              <w:rPr>
                <w:rFonts w:ascii="Arial" w:hAnsi="Arial" w:cs="Arial"/>
                <w:sz w:val="24"/>
                <w:szCs w:val="24"/>
              </w:rPr>
            </w:pPr>
            <w:r>
              <w:rPr>
                <w:rFonts w:ascii="Arial" w:hAnsi="Arial" w:cs="Arial"/>
                <w:sz w:val="24"/>
                <w:szCs w:val="24"/>
              </w:rPr>
              <w:t>21</w:t>
            </w:r>
          </w:p>
        </w:tc>
        <w:tc>
          <w:tcPr>
            <w:tcW w:w="1331" w:type="dxa"/>
          </w:tcPr>
          <w:p w:rsidR="00590916" w:rsidRDefault="00921DF8" w:rsidP="00921DF8">
            <w:pPr>
              <w:jc w:val="center"/>
              <w:rPr>
                <w:rFonts w:ascii="Arial" w:hAnsi="Arial" w:cs="Arial"/>
                <w:sz w:val="24"/>
                <w:szCs w:val="24"/>
              </w:rPr>
            </w:pPr>
            <w:r>
              <w:rPr>
                <w:rFonts w:ascii="Arial" w:hAnsi="Arial" w:cs="Arial"/>
                <w:sz w:val="24"/>
                <w:szCs w:val="24"/>
              </w:rPr>
              <w:t>48</w:t>
            </w:r>
          </w:p>
        </w:tc>
        <w:tc>
          <w:tcPr>
            <w:tcW w:w="1849" w:type="dxa"/>
          </w:tcPr>
          <w:p w:rsidR="00590916" w:rsidRDefault="00921DF8" w:rsidP="00921DF8">
            <w:pPr>
              <w:jc w:val="center"/>
              <w:rPr>
                <w:rFonts w:ascii="Arial" w:hAnsi="Arial" w:cs="Arial"/>
                <w:sz w:val="24"/>
                <w:szCs w:val="24"/>
              </w:rPr>
            </w:pPr>
            <w:r>
              <w:rPr>
                <w:rFonts w:ascii="Arial" w:hAnsi="Arial" w:cs="Arial"/>
                <w:sz w:val="24"/>
                <w:szCs w:val="24"/>
              </w:rPr>
              <w:t>0.22%</w:t>
            </w:r>
          </w:p>
        </w:tc>
      </w:tr>
      <w:tr w:rsidR="00590916" w:rsidTr="00921DF8">
        <w:tc>
          <w:tcPr>
            <w:tcW w:w="3936" w:type="dxa"/>
            <w:shd w:val="clear" w:color="auto" w:fill="FFFFFF" w:themeFill="background1"/>
          </w:tcPr>
          <w:p w:rsidR="00590916" w:rsidRDefault="00590916" w:rsidP="00921DF8">
            <w:pPr>
              <w:rPr>
                <w:rFonts w:ascii="Arial" w:hAnsi="Arial" w:cs="Arial"/>
                <w:sz w:val="24"/>
                <w:szCs w:val="24"/>
              </w:rPr>
            </w:pPr>
            <w:r>
              <w:rPr>
                <w:rFonts w:ascii="Arial" w:hAnsi="Arial" w:cs="Arial"/>
                <w:sz w:val="24"/>
                <w:szCs w:val="24"/>
              </w:rPr>
              <w:t>Other Mixed Background</w:t>
            </w:r>
          </w:p>
          <w:p w:rsidR="00C26FC7" w:rsidRDefault="00C26FC7" w:rsidP="00921DF8">
            <w:pPr>
              <w:rPr>
                <w:rFonts w:ascii="Arial" w:hAnsi="Arial" w:cs="Arial"/>
                <w:sz w:val="24"/>
                <w:szCs w:val="24"/>
              </w:rPr>
            </w:pPr>
          </w:p>
        </w:tc>
        <w:tc>
          <w:tcPr>
            <w:tcW w:w="1109" w:type="dxa"/>
          </w:tcPr>
          <w:p w:rsidR="00590916" w:rsidRDefault="00921DF8" w:rsidP="00921DF8">
            <w:pPr>
              <w:jc w:val="center"/>
              <w:rPr>
                <w:rFonts w:ascii="Arial" w:hAnsi="Arial" w:cs="Arial"/>
                <w:sz w:val="24"/>
                <w:szCs w:val="24"/>
              </w:rPr>
            </w:pPr>
            <w:r>
              <w:rPr>
                <w:rFonts w:ascii="Arial" w:hAnsi="Arial" w:cs="Arial"/>
                <w:sz w:val="24"/>
                <w:szCs w:val="24"/>
              </w:rPr>
              <w:t>3</w:t>
            </w:r>
          </w:p>
        </w:tc>
        <w:tc>
          <w:tcPr>
            <w:tcW w:w="1017" w:type="dxa"/>
          </w:tcPr>
          <w:p w:rsidR="00590916" w:rsidRDefault="00921DF8" w:rsidP="00921DF8">
            <w:pPr>
              <w:jc w:val="center"/>
              <w:rPr>
                <w:rFonts w:ascii="Arial" w:hAnsi="Arial" w:cs="Arial"/>
                <w:sz w:val="24"/>
                <w:szCs w:val="24"/>
              </w:rPr>
            </w:pPr>
            <w:r>
              <w:rPr>
                <w:rFonts w:ascii="Arial" w:hAnsi="Arial" w:cs="Arial"/>
                <w:sz w:val="24"/>
                <w:szCs w:val="24"/>
              </w:rPr>
              <w:t>26</w:t>
            </w:r>
          </w:p>
        </w:tc>
        <w:tc>
          <w:tcPr>
            <w:tcW w:w="1331" w:type="dxa"/>
          </w:tcPr>
          <w:p w:rsidR="00590916" w:rsidRDefault="00921DF8" w:rsidP="00921DF8">
            <w:pPr>
              <w:jc w:val="center"/>
              <w:rPr>
                <w:rFonts w:ascii="Arial" w:hAnsi="Arial" w:cs="Arial"/>
                <w:sz w:val="24"/>
                <w:szCs w:val="24"/>
              </w:rPr>
            </w:pPr>
            <w:r>
              <w:rPr>
                <w:rFonts w:ascii="Arial" w:hAnsi="Arial" w:cs="Arial"/>
                <w:sz w:val="24"/>
                <w:szCs w:val="24"/>
              </w:rPr>
              <w:t>29</w:t>
            </w:r>
          </w:p>
        </w:tc>
        <w:tc>
          <w:tcPr>
            <w:tcW w:w="1849" w:type="dxa"/>
          </w:tcPr>
          <w:p w:rsidR="00590916" w:rsidRDefault="00921DF8" w:rsidP="00921DF8">
            <w:pPr>
              <w:jc w:val="center"/>
              <w:rPr>
                <w:rFonts w:ascii="Arial" w:hAnsi="Arial" w:cs="Arial"/>
                <w:sz w:val="24"/>
                <w:szCs w:val="24"/>
              </w:rPr>
            </w:pPr>
            <w:r>
              <w:rPr>
                <w:rFonts w:ascii="Arial" w:hAnsi="Arial" w:cs="Arial"/>
                <w:sz w:val="24"/>
                <w:szCs w:val="24"/>
              </w:rPr>
              <w:t>0.13%</w:t>
            </w:r>
          </w:p>
        </w:tc>
      </w:tr>
      <w:tr w:rsidR="00590916" w:rsidTr="00921DF8">
        <w:tc>
          <w:tcPr>
            <w:tcW w:w="3936" w:type="dxa"/>
            <w:shd w:val="clear" w:color="auto" w:fill="FFFFFF" w:themeFill="background1"/>
          </w:tcPr>
          <w:p w:rsidR="00590916" w:rsidRDefault="00590916" w:rsidP="00921DF8">
            <w:pPr>
              <w:rPr>
                <w:rFonts w:ascii="Arial" w:hAnsi="Arial" w:cs="Arial"/>
                <w:sz w:val="24"/>
                <w:szCs w:val="24"/>
              </w:rPr>
            </w:pPr>
            <w:r>
              <w:rPr>
                <w:rFonts w:ascii="Arial" w:hAnsi="Arial" w:cs="Arial"/>
                <w:sz w:val="24"/>
                <w:szCs w:val="24"/>
              </w:rPr>
              <w:t>Other Ethnic Background</w:t>
            </w:r>
          </w:p>
          <w:p w:rsidR="00C26FC7" w:rsidRDefault="00C26FC7" w:rsidP="00921DF8">
            <w:pPr>
              <w:rPr>
                <w:rFonts w:ascii="Arial" w:hAnsi="Arial" w:cs="Arial"/>
                <w:sz w:val="24"/>
                <w:szCs w:val="24"/>
              </w:rPr>
            </w:pPr>
          </w:p>
        </w:tc>
        <w:tc>
          <w:tcPr>
            <w:tcW w:w="1109" w:type="dxa"/>
          </w:tcPr>
          <w:p w:rsidR="00590916" w:rsidRDefault="00921DF8" w:rsidP="00921DF8">
            <w:pPr>
              <w:jc w:val="center"/>
              <w:rPr>
                <w:rFonts w:ascii="Arial" w:hAnsi="Arial" w:cs="Arial"/>
                <w:sz w:val="24"/>
                <w:szCs w:val="24"/>
              </w:rPr>
            </w:pPr>
            <w:r>
              <w:rPr>
                <w:rFonts w:ascii="Arial" w:hAnsi="Arial" w:cs="Arial"/>
                <w:sz w:val="24"/>
                <w:szCs w:val="24"/>
              </w:rPr>
              <w:t>19</w:t>
            </w:r>
          </w:p>
        </w:tc>
        <w:tc>
          <w:tcPr>
            <w:tcW w:w="1017" w:type="dxa"/>
          </w:tcPr>
          <w:p w:rsidR="00590916" w:rsidRDefault="00921DF8" w:rsidP="00921DF8">
            <w:pPr>
              <w:jc w:val="center"/>
              <w:rPr>
                <w:rFonts w:ascii="Arial" w:hAnsi="Arial" w:cs="Arial"/>
                <w:sz w:val="24"/>
                <w:szCs w:val="24"/>
              </w:rPr>
            </w:pPr>
            <w:r>
              <w:rPr>
                <w:rFonts w:ascii="Arial" w:hAnsi="Arial" w:cs="Arial"/>
                <w:sz w:val="24"/>
                <w:szCs w:val="24"/>
              </w:rPr>
              <w:t>39</w:t>
            </w:r>
          </w:p>
        </w:tc>
        <w:tc>
          <w:tcPr>
            <w:tcW w:w="1331" w:type="dxa"/>
          </w:tcPr>
          <w:p w:rsidR="00590916" w:rsidRDefault="00921DF8" w:rsidP="00921DF8">
            <w:pPr>
              <w:jc w:val="center"/>
              <w:rPr>
                <w:rFonts w:ascii="Arial" w:hAnsi="Arial" w:cs="Arial"/>
                <w:sz w:val="24"/>
                <w:szCs w:val="24"/>
              </w:rPr>
            </w:pPr>
            <w:r>
              <w:rPr>
                <w:rFonts w:ascii="Arial" w:hAnsi="Arial" w:cs="Arial"/>
                <w:sz w:val="24"/>
                <w:szCs w:val="24"/>
              </w:rPr>
              <w:t>58</w:t>
            </w:r>
          </w:p>
        </w:tc>
        <w:tc>
          <w:tcPr>
            <w:tcW w:w="1849" w:type="dxa"/>
          </w:tcPr>
          <w:p w:rsidR="00590916" w:rsidRDefault="00921DF8" w:rsidP="00921DF8">
            <w:pPr>
              <w:jc w:val="center"/>
              <w:rPr>
                <w:rFonts w:ascii="Arial" w:hAnsi="Arial" w:cs="Arial"/>
                <w:sz w:val="24"/>
                <w:szCs w:val="24"/>
              </w:rPr>
            </w:pPr>
            <w:r>
              <w:rPr>
                <w:rFonts w:ascii="Arial" w:hAnsi="Arial" w:cs="Arial"/>
                <w:sz w:val="24"/>
                <w:szCs w:val="24"/>
              </w:rPr>
              <w:t>0.26%</w:t>
            </w:r>
          </w:p>
        </w:tc>
      </w:tr>
      <w:tr w:rsidR="00590916" w:rsidTr="00921DF8">
        <w:tc>
          <w:tcPr>
            <w:tcW w:w="3936" w:type="dxa"/>
            <w:shd w:val="clear" w:color="auto" w:fill="FFFFFF" w:themeFill="background1"/>
          </w:tcPr>
          <w:p w:rsidR="00590916" w:rsidRDefault="00590916" w:rsidP="00921DF8">
            <w:pPr>
              <w:rPr>
                <w:rFonts w:ascii="Arial" w:hAnsi="Arial" w:cs="Arial"/>
                <w:sz w:val="24"/>
                <w:szCs w:val="24"/>
              </w:rPr>
            </w:pPr>
            <w:r>
              <w:rPr>
                <w:rFonts w:ascii="Arial" w:hAnsi="Arial" w:cs="Arial"/>
                <w:sz w:val="24"/>
                <w:szCs w:val="24"/>
              </w:rPr>
              <w:t>Information Refused</w:t>
            </w:r>
          </w:p>
          <w:p w:rsidR="00C26FC7" w:rsidRDefault="00C26FC7" w:rsidP="00921DF8">
            <w:pPr>
              <w:rPr>
                <w:rFonts w:ascii="Arial" w:hAnsi="Arial" w:cs="Arial"/>
                <w:sz w:val="24"/>
                <w:szCs w:val="24"/>
              </w:rPr>
            </w:pPr>
          </w:p>
        </w:tc>
        <w:tc>
          <w:tcPr>
            <w:tcW w:w="1109" w:type="dxa"/>
          </w:tcPr>
          <w:p w:rsidR="00590916" w:rsidRDefault="00921DF8" w:rsidP="00921DF8">
            <w:pPr>
              <w:jc w:val="center"/>
              <w:rPr>
                <w:rFonts w:ascii="Arial" w:hAnsi="Arial" w:cs="Arial"/>
                <w:sz w:val="24"/>
                <w:szCs w:val="24"/>
              </w:rPr>
            </w:pPr>
            <w:r>
              <w:rPr>
                <w:rFonts w:ascii="Arial" w:hAnsi="Arial" w:cs="Arial"/>
                <w:sz w:val="24"/>
                <w:szCs w:val="24"/>
              </w:rPr>
              <w:t>24</w:t>
            </w:r>
          </w:p>
        </w:tc>
        <w:tc>
          <w:tcPr>
            <w:tcW w:w="1017" w:type="dxa"/>
          </w:tcPr>
          <w:p w:rsidR="00590916" w:rsidRDefault="00921DF8" w:rsidP="00921DF8">
            <w:pPr>
              <w:jc w:val="center"/>
              <w:rPr>
                <w:rFonts w:ascii="Arial" w:hAnsi="Arial" w:cs="Arial"/>
                <w:sz w:val="24"/>
                <w:szCs w:val="24"/>
              </w:rPr>
            </w:pPr>
            <w:r>
              <w:rPr>
                <w:rFonts w:ascii="Arial" w:hAnsi="Arial" w:cs="Arial"/>
                <w:sz w:val="24"/>
                <w:szCs w:val="24"/>
              </w:rPr>
              <w:t>23</w:t>
            </w:r>
          </w:p>
        </w:tc>
        <w:tc>
          <w:tcPr>
            <w:tcW w:w="1331" w:type="dxa"/>
          </w:tcPr>
          <w:p w:rsidR="00590916" w:rsidRDefault="00921DF8" w:rsidP="00921DF8">
            <w:pPr>
              <w:jc w:val="center"/>
              <w:rPr>
                <w:rFonts w:ascii="Arial" w:hAnsi="Arial" w:cs="Arial"/>
                <w:sz w:val="24"/>
                <w:szCs w:val="24"/>
              </w:rPr>
            </w:pPr>
            <w:r>
              <w:rPr>
                <w:rFonts w:ascii="Arial" w:hAnsi="Arial" w:cs="Arial"/>
                <w:sz w:val="24"/>
                <w:szCs w:val="24"/>
              </w:rPr>
              <w:t>47</w:t>
            </w:r>
          </w:p>
        </w:tc>
        <w:tc>
          <w:tcPr>
            <w:tcW w:w="1849" w:type="dxa"/>
          </w:tcPr>
          <w:p w:rsidR="00590916" w:rsidRDefault="00921DF8" w:rsidP="00921DF8">
            <w:pPr>
              <w:jc w:val="center"/>
              <w:rPr>
                <w:rFonts w:ascii="Arial" w:hAnsi="Arial" w:cs="Arial"/>
                <w:sz w:val="24"/>
                <w:szCs w:val="24"/>
              </w:rPr>
            </w:pPr>
            <w:r>
              <w:rPr>
                <w:rFonts w:ascii="Arial" w:hAnsi="Arial" w:cs="Arial"/>
                <w:sz w:val="24"/>
                <w:szCs w:val="24"/>
              </w:rPr>
              <w:t>0.21%</w:t>
            </w:r>
          </w:p>
        </w:tc>
      </w:tr>
      <w:tr w:rsidR="00590916" w:rsidTr="00921DF8">
        <w:tc>
          <w:tcPr>
            <w:tcW w:w="3936" w:type="dxa"/>
            <w:shd w:val="clear" w:color="auto" w:fill="FFFFFF" w:themeFill="background1"/>
          </w:tcPr>
          <w:p w:rsidR="00590916" w:rsidRDefault="00590916" w:rsidP="00921DF8">
            <w:pPr>
              <w:rPr>
                <w:rFonts w:ascii="Arial" w:hAnsi="Arial" w:cs="Arial"/>
                <w:sz w:val="24"/>
                <w:szCs w:val="24"/>
              </w:rPr>
            </w:pPr>
            <w:r>
              <w:rPr>
                <w:rFonts w:ascii="Arial" w:hAnsi="Arial" w:cs="Arial"/>
                <w:sz w:val="24"/>
                <w:szCs w:val="24"/>
              </w:rPr>
              <w:t>Not Known</w:t>
            </w:r>
          </w:p>
          <w:p w:rsidR="00C26FC7" w:rsidRDefault="00C26FC7" w:rsidP="00921DF8">
            <w:pPr>
              <w:rPr>
                <w:rFonts w:ascii="Arial" w:hAnsi="Arial" w:cs="Arial"/>
                <w:sz w:val="24"/>
                <w:szCs w:val="24"/>
              </w:rPr>
            </w:pPr>
          </w:p>
        </w:tc>
        <w:tc>
          <w:tcPr>
            <w:tcW w:w="1109" w:type="dxa"/>
          </w:tcPr>
          <w:p w:rsidR="00590916" w:rsidRDefault="00921DF8" w:rsidP="00921DF8">
            <w:pPr>
              <w:jc w:val="center"/>
              <w:rPr>
                <w:rFonts w:ascii="Arial" w:hAnsi="Arial" w:cs="Arial"/>
                <w:sz w:val="24"/>
                <w:szCs w:val="24"/>
              </w:rPr>
            </w:pPr>
            <w:r>
              <w:rPr>
                <w:rFonts w:ascii="Arial" w:hAnsi="Arial" w:cs="Arial"/>
                <w:sz w:val="24"/>
                <w:szCs w:val="24"/>
              </w:rPr>
              <w:t>966</w:t>
            </w:r>
          </w:p>
        </w:tc>
        <w:tc>
          <w:tcPr>
            <w:tcW w:w="1017" w:type="dxa"/>
          </w:tcPr>
          <w:p w:rsidR="00590916" w:rsidRDefault="00921DF8" w:rsidP="00921DF8">
            <w:pPr>
              <w:jc w:val="center"/>
              <w:rPr>
                <w:rFonts w:ascii="Arial" w:hAnsi="Arial" w:cs="Arial"/>
                <w:sz w:val="24"/>
                <w:szCs w:val="24"/>
              </w:rPr>
            </w:pPr>
            <w:r>
              <w:rPr>
                <w:rFonts w:ascii="Arial" w:hAnsi="Arial" w:cs="Arial"/>
                <w:sz w:val="24"/>
                <w:szCs w:val="24"/>
              </w:rPr>
              <w:t>839</w:t>
            </w:r>
          </w:p>
        </w:tc>
        <w:tc>
          <w:tcPr>
            <w:tcW w:w="1331" w:type="dxa"/>
          </w:tcPr>
          <w:p w:rsidR="00590916" w:rsidRDefault="00921DF8" w:rsidP="00921DF8">
            <w:pPr>
              <w:jc w:val="center"/>
              <w:rPr>
                <w:rFonts w:ascii="Arial" w:hAnsi="Arial" w:cs="Arial"/>
                <w:sz w:val="24"/>
                <w:szCs w:val="24"/>
              </w:rPr>
            </w:pPr>
            <w:r>
              <w:rPr>
                <w:rFonts w:ascii="Arial" w:hAnsi="Arial" w:cs="Arial"/>
                <w:sz w:val="24"/>
                <w:szCs w:val="24"/>
              </w:rPr>
              <w:t>1</w:t>
            </w:r>
            <w:r w:rsidR="004749C7">
              <w:rPr>
                <w:rFonts w:ascii="Arial" w:hAnsi="Arial" w:cs="Arial"/>
                <w:sz w:val="24"/>
                <w:szCs w:val="24"/>
              </w:rPr>
              <w:t>,</w:t>
            </w:r>
            <w:r>
              <w:rPr>
                <w:rFonts w:ascii="Arial" w:hAnsi="Arial" w:cs="Arial"/>
                <w:sz w:val="24"/>
                <w:szCs w:val="24"/>
              </w:rPr>
              <w:t>805</w:t>
            </w:r>
          </w:p>
        </w:tc>
        <w:tc>
          <w:tcPr>
            <w:tcW w:w="1849" w:type="dxa"/>
          </w:tcPr>
          <w:p w:rsidR="00590916" w:rsidRDefault="00921DF8" w:rsidP="00921DF8">
            <w:pPr>
              <w:jc w:val="center"/>
              <w:rPr>
                <w:rFonts w:ascii="Arial" w:hAnsi="Arial" w:cs="Arial"/>
                <w:sz w:val="24"/>
                <w:szCs w:val="24"/>
              </w:rPr>
            </w:pPr>
            <w:r>
              <w:rPr>
                <w:rFonts w:ascii="Arial" w:hAnsi="Arial" w:cs="Arial"/>
                <w:sz w:val="24"/>
                <w:szCs w:val="24"/>
              </w:rPr>
              <w:t>8.22%</w:t>
            </w:r>
          </w:p>
        </w:tc>
      </w:tr>
      <w:tr w:rsidR="00590916" w:rsidTr="00921DF8">
        <w:tc>
          <w:tcPr>
            <w:tcW w:w="3936" w:type="dxa"/>
            <w:shd w:val="clear" w:color="auto" w:fill="E5B8B7" w:themeFill="accent2" w:themeFillTint="66"/>
          </w:tcPr>
          <w:p w:rsidR="00590916" w:rsidRDefault="00590916" w:rsidP="00921DF8">
            <w:pPr>
              <w:rPr>
                <w:rFonts w:ascii="Arial" w:hAnsi="Arial" w:cs="Arial"/>
                <w:sz w:val="24"/>
                <w:szCs w:val="24"/>
              </w:rPr>
            </w:pPr>
            <w:r>
              <w:rPr>
                <w:rFonts w:ascii="Arial" w:hAnsi="Arial" w:cs="Arial"/>
                <w:sz w:val="24"/>
                <w:szCs w:val="24"/>
              </w:rPr>
              <w:t>Total</w:t>
            </w:r>
          </w:p>
          <w:p w:rsidR="00590916" w:rsidRDefault="00590916" w:rsidP="00921DF8">
            <w:pPr>
              <w:rPr>
                <w:rFonts w:ascii="Arial" w:hAnsi="Arial" w:cs="Arial"/>
                <w:sz w:val="24"/>
                <w:szCs w:val="24"/>
              </w:rPr>
            </w:pPr>
          </w:p>
        </w:tc>
        <w:tc>
          <w:tcPr>
            <w:tcW w:w="1109" w:type="dxa"/>
            <w:shd w:val="clear" w:color="auto" w:fill="E5B8B7" w:themeFill="accent2" w:themeFillTint="66"/>
          </w:tcPr>
          <w:p w:rsidR="00590916" w:rsidRDefault="00921DF8" w:rsidP="00921DF8">
            <w:pPr>
              <w:jc w:val="center"/>
              <w:rPr>
                <w:rFonts w:ascii="Arial" w:hAnsi="Arial" w:cs="Arial"/>
                <w:sz w:val="24"/>
                <w:szCs w:val="24"/>
              </w:rPr>
            </w:pPr>
            <w:r>
              <w:rPr>
                <w:rFonts w:ascii="Arial" w:hAnsi="Arial" w:cs="Arial"/>
                <w:sz w:val="24"/>
                <w:szCs w:val="24"/>
              </w:rPr>
              <w:t>10</w:t>
            </w:r>
            <w:r w:rsidR="004749C7">
              <w:rPr>
                <w:rFonts w:ascii="Arial" w:hAnsi="Arial" w:cs="Arial"/>
                <w:sz w:val="24"/>
                <w:szCs w:val="24"/>
              </w:rPr>
              <w:t>,</w:t>
            </w:r>
            <w:r>
              <w:rPr>
                <w:rFonts w:ascii="Arial" w:hAnsi="Arial" w:cs="Arial"/>
                <w:sz w:val="24"/>
                <w:szCs w:val="24"/>
              </w:rPr>
              <w:t>816</w:t>
            </w:r>
          </w:p>
        </w:tc>
        <w:tc>
          <w:tcPr>
            <w:tcW w:w="1017" w:type="dxa"/>
            <w:shd w:val="clear" w:color="auto" w:fill="E5B8B7" w:themeFill="accent2" w:themeFillTint="66"/>
          </w:tcPr>
          <w:p w:rsidR="00590916" w:rsidRDefault="00921DF8" w:rsidP="00921DF8">
            <w:pPr>
              <w:jc w:val="center"/>
              <w:rPr>
                <w:rFonts w:ascii="Arial" w:hAnsi="Arial" w:cs="Arial"/>
                <w:sz w:val="24"/>
                <w:szCs w:val="24"/>
              </w:rPr>
            </w:pPr>
            <w:r>
              <w:rPr>
                <w:rFonts w:ascii="Arial" w:hAnsi="Arial" w:cs="Arial"/>
                <w:sz w:val="24"/>
                <w:szCs w:val="24"/>
              </w:rPr>
              <w:t>11</w:t>
            </w:r>
            <w:r w:rsidR="004749C7">
              <w:rPr>
                <w:rFonts w:ascii="Arial" w:hAnsi="Arial" w:cs="Arial"/>
                <w:sz w:val="24"/>
                <w:szCs w:val="24"/>
              </w:rPr>
              <w:t>,</w:t>
            </w:r>
            <w:r>
              <w:rPr>
                <w:rFonts w:ascii="Arial" w:hAnsi="Arial" w:cs="Arial"/>
                <w:sz w:val="24"/>
                <w:szCs w:val="24"/>
              </w:rPr>
              <w:t>146</w:t>
            </w:r>
          </w:p>
        </w:tc>
        <w:tc>
          <w:tcPr>
            <w:tcW w:w="1331" w:type="dxa"/>
            <w:shd w:val="clear" w:color="auto" w:fill="E5B8B7" w:themeFill="accent2" w:themeFillTint="66"/>
          </w:tcPr>
          <w:p w:rsidR="00590916" w:rsidRDefault="00921DF8" w:rsidP="00921DF8">
            <w:pPr>
              <w:jc w:val="center"/>
              <w:rPr>
                <w:rFonts w:ascii="Arial" w:hAnsi="Arial" w:cs="Arial"/>
                <w:sz w:val="24"/>
                <w:szCs w:val="24"/>
              </w:rPr>
            </w:pPr>
            <w:r>
              <w:rPr>
                <w:rFonts w:ascii="Arial" w:hAnsi="Arial" w:cs="Arial"/>
                <w:sz w:val="24"/>
                <w:szCs w:val="24"/>
              </w:rPr>
              <w:t>21</w:t>
            </w:r>
            <w:r w:rsidR="004749C7">
              <w:rPr>
                <w:rFonts w:ascii="Arial" w:hAnsi="Arial" w:cs="Arial"/>
                <w:sz w:val="24"/>
                <w:szCs w:val="24"/>
              </w:rPr>
              <w:t>,</w:t>
            </w:r>
            <w:r>
              <w:rPr>
                <w:rFonts w:ascii="Arial" w:hAnsi="Arial" w:cs="Arial"/>
                <w:sz w:val="24"/>
                <w:szCs w:val="24"/>
              </w:rPr>
              <w:t>962</w:t>
            </w:r>
          </w:p>
        </w:tc>
        <w:tc>
          <w:tcPr>
            <w:tcW w:w="1849" w:type="dxa"/>
            <w:shd w:val="clear" w:color="auto" w:fill="E5B8B7" w:themeFill="accent2" w:themeFillTint="66"/>
          </w:tcPr>
          <w:p w:rsidR="00590916" w:rsidRDefault="00921DF8" w:rsidP="00921DF8">
            <w:pPr>
              <w:jc w:val="center"/>
              <w:rPr>
                <w:rFonts w:ascii="Arial" w:hAnsi="Arial" w:cs="Arial"/>
                <w:sz w:val="24"/>
                <w:szCs w:val="24"/>
              </w:rPr>
            </w:pPr>
            <w:r>
              <w:rPr>
                <w:rFonts w:ascii="Arial" w:hAnsi="Arial" w:cs="Arial"/>
                <w:sz w:val="24"/>
                <w:szCs w:val="24"/>
              </w:rPr>
              <w:t>100.00%</w:t>
            </w:r>
          </w:p>
        </w:tc>
      </w:tr>
    </w:tbl>
    <w:p w:rsidR="00924E0B" w:rsidRDefault="00924E0B" w:rsidP="00A420A3">
      <w:pPr>
        <w:rPr>
          <w:rFonts w:ascii="Arial" w:hAnsi="Arial" w:cs="Arial"/>
          <w:b/>
          <w:sz w:val="24"/>
          <w:szCs w:val="24"/>
        </w:rPr>
      </w:pPr>
    </w:p>
    <w:p w:rsidR="00921DF8" w:rsidRDefault="00921DF8" w:rsidP="00A420A3">
      <w:pPr>
        <w:rPr>
          <w:rFonts w:ascii="Arial" w:hAnsi="Arial" w:cs="Arial"/>
          <w:sz w:val="24"/>
          <w:szCs w:val="24"/>
        </w:rPr>
      </w:pPr>
    </w:p>
    <w:p w:rsidR="00C26FC7" w:rsidRDefault="00C26FC7" w:rsidP="00A420A3">
      <w:pPr>
        <w:rPr>
          <w:rFonts w:ascii="Arial" w:hAnsi="Arial" w:cs="Arial"/>
          <w:sz w:val="24"/>
          <w:szCs w:val="24"/>
        </w:rPr>
      </w:pPr>
    </w:p>
    <w:p w:rsidR="00921DF8" w:rsidRDefault="00921DF8" w:rsidP="00A420A3">
      <w:pPr>
        <w:rPr>
          <w:rFonts w:ascii="Arial" w:hAnsi="Arial" w:cs="Arial"/>
          <w:sz w:val="24"/>
          <w:szCs w:val="24"/>
        </w:rPr>
      </w:pPr>
    </w:p>
    <w:p w:rsidR="00921DF8" w:rsidRDefault="00921DF8" w:rsidP="00A420A3">
      <w:pPr>
        <w:rPr>
          <w:rFonts w:ascii="Arial" w:hAnsi="Arial" w:cs="Arial"/>
          <w:b/>
          <w:sz w:val="24"/>
          <w:szCs w:val="24"/>
        </w:rPr>
      </w:pPr>
      <w:r w:rsidRPr="00C26FC7">
        <w:rPr>
          <w:rFonts w:ascii="Arial" w:hAnsi="Arial" w:cs="Arial"/>
          <w:b/>
          <w:sz w:val="24"/>
          <w:szCs w:val="24"/>
        </w:rPr>
        <w:t>2009-2010</w:t>
      </w:r>
    </w:p>
    <w:p w:rsidR="00C26FC7" w:rsidRPr="00924E0B" w:rsidRDefault="00C26FC7" w:rsidP="00C26FC7">
      <w:pPr>
        <w:rPr>
          <w:rFonts w:ascii="Arial" w:hAnsi="Arial" w:cs="Arial"/>
          <w:sz w:val="24"/>
          <w:szCs w:val="24"/>
        </w:rPr>
      </w:pPr>
      <w:r>
        <w:rPr>
          <w:rFonts w:ascii="Arial" w:hAnsi="Arial" w:cs="Arial"/>
          <w:sz w:val="24"/>
          <w:szCs w:val="24"/>
        </w:rPr>
        <w:t>The number of enrolments from different ethnic groups is illustrated in the following table:</w:t>
      </w:r>
    </w:p>
    <w:tbl>
      <w:tblPr>
        <w:tblStyle w:val="TableGrid"/>
        <w:tblW w:w="0" w:type="auto"/>
        <w:tblLook w:val="04A0"/>
      </w:tblPr>
      <w:tblGrid>
        <w:gridCol w:w="3936"/>
        <w:gridCol w:w="1109"/>
        <w:gridCol w:w="1017"/>
        <w:gridCol w:w="1331"/>
        <w:gridCol w:w="1849"/>
      </w:tblGrid>
      <w:tr w:rsidR="00C26FC7" w:rsidTr="00C26FC7">
        <w:tc>
          <w:tcPr>
            <w:tcW w:w="3936" w:type="dxa"/>
            <w:shd w:val="clear" w:color="auto" w:fill="E5B8B7" w:themeFill="accent2" w:themeFillTint="66"/>
          </w:tcPr>
          <w:p w:rsidR="00C26FC7" w:rsidRDefault="00C26FC7" w:rsidP="00C26FC7">
            <w:pPr>
              <w:jc w:val="center"/>
              <w:rPr>
                <w:rFonts w:ascii="Arial" w:hAnsi="Arial" w:cs="Arial"/>
                <w:sz w:val="24"/>
                <w:szCs w:val="24"/>
              </w:rPr>
            </w:pPr>
            <w:r>
              <w:rPr>
                <w:rFonts w:ascii="Arial" w:hAnsi="Arial" w:cs="Arial"/>
                <w:sz w:val="24"/>
                <w:szCs w:val="24"/>
              </w:rPr>
              <w:t>Ethnic Origin</w:t>
            </w:r>
          </w:p>
        </w:tc>
        <w:tc>
          <w:tcPr>
            <w:tcW w:w="1109" w:type="dxa"/>
            <w:shd w:val="clear" w:color="auto" w:fill="E5B8B7" w:themeFill="accent2" w:themeFillTint="66"/>
          </w:tcPr>
          <w:p w:rsidR="00C26FC7" w:rsidRDefault="00C26FC7" w:rsidP="00C26FC7">
            <w:pPr>
              <w:jc w:val="center"/>
              <w:rPr>
                <w:rFonts w:ascii="Arial" w:hAnsi="Arial" w:cs="Arial"/>
                <w:sz w:val="24"/>
                <w:szCs w:val="24"/>
              </w:rPr>
            </w:pPr>
            <w:r>
              <w:rPr>
                <w:rFonts w:ascii="Arial" w:hAnsi="Arial" w:cs="Arial"/>
                <w:sz w:val="24"/>
                <w:szCs w:val="24"/>
              </w:rPr>
              <w:t>Male</w:t>
            </w:r>
          </w:p>
        </w:tc>
        <w:tc>
          <w:tcPr>
            <w:tcW w:w="1017" w:type="dxa"/>
            <w:shd w:val="clear" w:color="auto" w:fill="E5B8B7" w:themeFill="accent2" w:themeFillTint="66"/>
          </w:tcPr>
          <w:p w:rsidR="00C26FC7" w:rsidRDefault="00C26FC7" w:rsidP="00C26FC7">
            <w:pPr>
              <w:jc w:val="center"/>
              <w:rPr>
                <w:rFonts w:ascii="Arial" w:hAnsi="Arial" w:cs="Arial"/>
                <w:sz w:val="24"/>
                <w:szCs w:val="24"/>
              </w:rPr>
            </w:pPr>
            <w:r>
              <w:rPr>
                <w:rFonts w:ascii="Arial" w:hAnsi="Arial" w:cs="Arial"/>
                <w:sz w:val="24"/>
                <w:szCs w:val="24"/>
              </w:rPr>
              <w:t>Female</w:t>
            </w:r>
          </w:p>
        </w:tc>
        <w:tc>
          <w:tcPr>
            <w:tcW w:w="1331" w:type="dxa"/>
            <w:shd w:val="clear" w:color="auto" w:fill="E5B8B7" w:themeFill="accent2" w:themeFillTint="66"/>
          </w:tcPr>
          <w:p w:rsidR="00C26FC7" w:rsidRDefault="00C26FC7" w:rsidP="00C26FC7">
            <w:pPr>
              <w:jc w:val="center"/>
              <w:rPr>
                <w:rFonts w:ascii="Arial" w:hAnsi="Arial" w:cs="Arial"/>
                <w:sz w:val="24"/>
                <w:szCs w:val="24"/>
              </w:rPr>
            </w:pPr>
            <w:r>
              <w:rPr>
                <w:rFonts w:ascii="Arial" w:hAnsi="Arial" w:cs="Arial"/>
                <w:sz w:val="24"/>
                <w:szCs w:val="24"/>
              </w:rPr>
              <w:t>Total</w:t>
            </w:r>
          </w:p>
        </w:tc>
        <w:tc>
          <w:tcPr>
            <w:tcW w:w="1849" w:type="dxa"/>
            <w:shd w:val="clear" w:color="auto" w:fill="E5B8B7" w:themeFill="accent2" w:themeFillTint="66"/>
          </w:tcPr>
          <w:p w:rsidR="00C26FC7" w:rsidRDefault="00720D5D" w:rsidP="00C26FC7">
            <w:pPr>
              <w:jc w:val="center"/>
              <w:rPr>
                <w:rFonts w:ascii="Arial" w:hAnsi="Arial" w:cs="Arial"/>
                <w:sz w:val="24"/>
                <w:szCs w:val="24"/>
              </w:rPr>
            </w:pPr>
            <w:r>
              <w:rPr>
                <w:rFonts w:ascii="Arial" w:hAnsi="Arial" w:cs="Arial"/>
                <w:sz w:val="24"/>
                <w:szCs w:val="24"/>
              </w:rPr>
              <w:t>% of C</w:t>
            </w:r>
            <w:r w:rsidR="00C26FC7">
              <w:rPr>
                <w:rFonts w:ascii="Arial" w:hAnsi="Arial" w:cs="Arial"/>
                <w:sz w:val="24"/>
                <w:szCs w:val="24"/>
              </w:rPr>
              <w:t>ollege total</w:t>
            </w:r>
          </w:p>
        </w:tc>
      </w:tr>
      <w:tr w:rsidR="00C26FC7" w:rsidTr="00C26FC7">
        <w:tc>
          <w:tcPr>
            <w:tcW w:w="3936" w:type="dxa"/>
            <w:shd w:val="clear" w:color="auto" w:fill="FFFFFF" w:themeFill="background1"/>
          </w:tcPr>
          <w:p w:rsidR="00C26FC7" w:rsidRDefault="00C26FC7" w:rsidP="00C26FC7">
            <w:pPr>
              <w:rPr>
                <w:rFonts w:ascii="Arial" w:hAnsi="Arial" w:cs="Arial"/>
                <w:sz w:val="24"/>
                <w:szCs w:val="24"/>
              </w:rPr>
            </w:pPr>
            <w:r>
              <w:rPr>
                <w:rFonts w:ascii="Arial" w:hAnsi="Arial" w:cs="Arial"/>
                <w:sz w:val="24"/>
                <w:szCs w:val="24"/>
              </w:rPr>
              <w:t>Null</w:t>
            </w:r>
          </w:p>
          <w:p w:rsidR="00C26FC7" w:rsidRDefault="00C26FC7" w:rsidP="00C26FC7">
            <w:pPr>
              <w:rPr>
                <w:rFonts w:ascii="Arial" w:hAnsi="Arial" w:cs="Arial"/>
                <w:sz w:val="24"/>
                <w:szCs w:val="24"/>
              </w:rPr>
            </w:pPr>
          </w:p>
        </w:tc>
        <w:tc>
          <w:tcPr>
            <w:tcW w:w="1109" w:type="dxa"/>
          </w:tcPr>
          <w:p w:rsidR="00C26FC7" w:rsidRDefault="00C26FC7" w:rsidP="00C26FC7">
            <w:pPr>
              <w:jc w:val="center"/>
              <w:rPr>
                <w:rFonts w:ascii="Arial" w:hAnsi="Arial" w:cs="Arial"/>
                <w:sz w:val="24"/>
                <w:szCs w:val="24"/>
              </w:rPr>
            </w:pPr>
            <w:r>
              <w:rPr>
                <w:rFonts w:ascii="Arial" w:hAnsi="Arial" w:cs="Arial"/>
                <w:sz w:val="24"/>
                <w:szCs w:val="24"/>
              </w:rPr>
              <w:t>0</w:t>
            </w:r>
          </w:p>
        </w:tc>
        <w:tc>
          <w:tcPr>
            <w:tcW w:w="1017" w:type="dxa"/>
          </w:tcPr>
          <w:p w:rsidR="00C26FC7" w:rsidRDefault="00C26FC7" w:rsidP="00C26FC7">
            <w:pPr>
              <w:jc w:val="center"/>
              <w:rPr>
                <w:rFonts w:ascii="Arial" w:hAnsi="Arial" w:cs="Arial"/>
                <w:sz w:val="24"/>
                <w:szCs w:val="24"/>
              </w:rPr>
            </w:pPr>
            <w:r>
              <w:rPr>
                <w:rFonts w:ascii="Arial" w:hAnsi="Arial" w:cs="Arial"/>
                <w:sz w:val="24"/>
                <w:szCs w:val="24"/>
              </w:rPr>
              <w:t>0</w:t>
            </w:r>
          </w:p>
        </w:tc>
        <w:tc>
          <w:tcPr>
            <w:tcW w:w="1331" w:type="dxa"/>
          </w:tcPr>
          <w:p w:rsidR="00C26FC7" w:rsidRDefault="00C26FC7" w:rsidP="00C26FC7">
            <w:pPr>
              <w:jc w:val="center"/>
              <w:rPr>
                <w:rFonts w:ascii="Arial" w:hAnsi="Arial" w:cs="Arial"/>
                <w:sz w:val="24"/>
                <w:szCs w:val="24"/>
              </w:rPr>
            </w:pPr>
            <w:r>
              <w:rPr>
                <w:rFonts w:ascii="Arial" w:hAnsi="Arial" w:cs="Arial"/>
                <w:sz w:val="24"/>
                <w:szCs w:val="24"/>
              </w:rPr>
              <w:t>0</w:t>
            </w:r>
          </w:p>
        </w:tc>
        <w:tc>
          <w:tcPr>
            <w:tcW w:w="1849" w:type="dxa"/>
          </w:tcPr>
          <w:p w:rsidR="00C26FC7" w:rsidRDefault="00C26FC7" w:rsidP="00C26FC7">
            <w:pPr>
              <w:jc w:val="center"/>
              <w:rPr>
                <w:rFonts w:ascii="Arial" w:hAnsi="Arial" w:cs="Arial"/>
                <w:sz w:val="24"/>
                <w:szCs w:val="24"/>
              </w:rPr>
            </w:pPr>
            <w:r>
              <w:rPr>
                <w:rFonts w:ascii="Arial" w:hAnsi="Arial" w:cs="Arial"/>
                <w:sz w:val="24"/>
                <w:szCs w:val="24"/>
              </w:rPr>
              <w:t>0.00%</w:t>
            </w:r>
          </w:p>
        </w:tc>
      </w:tr>
      <w:tr w:rsidR="00C26FC7" w:rsidTr="00C26FC7">
        <w:tc>
          <w:tcPr>
            <w:tcW w:w="3936" w:type="dxa"/>
            <w:shd w:val="clear" w:color="auto" w:fill="FFFFFF" w:themeFill="background1"/>
          </w:tcPr>
          <w:p w:rsidR="00C26FC7" w:rsidRDefault="00C26FC7" w:rsidP="00C26FC7">
            <w:pPr>
              <w:rPr>
                <w:rFonts w:ascii="Arial" w:hAnsi="Arial" w:cs="Arial"/>
                <w:sz w:val="24"/>
                <w:szCs w:val="24"/>
              </w:rPr>
            </w:pPr>
            <w:r>
              <w:rPr>
                <w:rFonts w:ascii="Arial" w:hAnsi="Arial" w:cs="Arial"/>
                <w:sz w:val="24"/>
                <w:szCs w:val="24"/>
              </w:rPr>
              <w:t>White</w:t>
            </w:r>
          </w:p>
          <w:p w:rsidR="00C26FC7" w:rsidRDefault="00C26FC7" w:rsidP="00C26FC7">
            <w:pPr>
              <w:rPr>
                <w:rFonts w:ascii="Arial" w:hAnsi="Arial" w:cs="Arial"/>
                <w:sz w:val="24"/>
                <w:szCs w:val="24"/>
              </w:rPr>
            </w:pPr>
          </w:p>
        </w:tc>
        <w:tc>
          <w:tcPr>
            <w:tcW w:w="1109" w:type="dxa"/>
          </w:tcPr>
          <w:p w:rsidR="00C26FC7" w:rsidRDefault="00C26FC7" w:rsidP="00C26FC7">
            <w:pPr>
              <w:jc w:val="center"/>
              <w:rPr>
                <w:rFonts w:ascii="Arial" w:hAnsi="Arial" w:cs="Arial"/>
                <w:sz w:val="24"/>
                <w:szCs w:val="24"/>
              </w:rPr>
            </w:pPr>
            <w:r>
              <w:rPr>
                <w:rFonts w:ascii="Arial" w:hAnsi="Arial" w:cs="Arial"/>
                <w:sz w:val="24"/>
                <w:szCs w:val="24"/>
              </w:rPr>
              <w:t>11</w:t>
            </w:r>
            <w:r w:rsidR="00963A75">
              <w:rPr>
                <w:rFonts w:ascii="Arial" w:hAnsi="Arial" w:cs="Arial"/>
                <w:sz w:val="24"/>
                <w:szCs w:val="24"/>
              </w:rPr>
              <w:t>,</w:t>
            </w:r>
            <w:r>
              <w:rPr>
                <w:rFonts w:ascii="Arial" w:hAnsi="Arial" w:cs="Arial"/>
                <w:sz w:val="24"/>
                <w:szCs w:val="24"/>
              </w:rPr>
              <w:t>281</w:t>
            </w:r>
          </w:p>
        </w:tc>
        <w:tc>
          <w:tcPr>
            <w:tcW w:w="1017" w:type="dxa"/>
          </w:tcPr>
          <w:p w:rsidR="00C26FC7" w:rsidRDefault="00C26FC7" w:rsidP="00C26FC7">
            <w:pPr>
              <w:jc w:val="center"/>
              <w:rPr>
                <w:rFonts w:ascii="Arial" w:hAnsi="Arial" w:cs="Arial"/>
                <w:sz w:val="24"/>
                <w:szCs w:val="24"/>
              </w:rPr>
            </w:pPr>
            <w:r>
              <w:rPr>
                <w:rFonts w:ascii="Arial" w:hAnsi="Arial" w:cs="Arial"/>
                <w:sz w:val="24"/>
                <w:szCs w:val="24"/>
              </w:rPr>
              <w:t>10</w:t>
            </w:r>
            <w:r w:rsidR="00963A75">
              <w:rPr>
                <w:rFonts w:ascii="Arial" w:hAnsi="Arial" w:cs="Arial"/>
                <w:sz w:val="24"/>
                <w:szCs w:val="24"/>
              </w:rPr>
              <w:t>,</w:t>
            </w:r>
            <w:r>
              <w:rPr>
                <w:rFonts w:ascii="Arial" w:hAnsi="Arial" w:cs="Arial"/>
                <w:sz w:val="24"/>
                <w:szCs w:val="24"/>
              </w:rPr>
              <w:t>961</w:t>
            </w:r>
          </w:p>
        </w:tc>
        <w:tc>
          <w:tcPr>
            <w:tcW w:w="1331" w:type="dxa"/>
          </w:tcPr>
          <w:p w:rsidR="00C26FC7" w:rsidRDefault="00C26FC7" w:rsidP="00C26FC7">
            <w:pPr>
              <w:jc w:val="center"/>
              <w:rPr>
                <w:rFonts w:ascii="Arial" w:hAnsi="Arial" w:cs="Arial"/>
                <w:sz w:val="24"/>
                <w:szCs w:val="24"/>
              </w:rPr>
            </w:pPr>
            <w:r>
              <w:rPr>
                <w:rFonts w:ascii="Arial" w:hAnsi="Arial" w:cs="Arial"/>
                <w:sz w:val="24"/>
                <w:szCs w:val="24"/>
              </w:rPr>
              <w:t>22</w:t>
            </w:r>
            <w:r w:rsidR="004749C7">
              <w:rPr>
                <w:rFonts w:ascii="Arial" w:hAnsi="Arial" w:cs="Arial"/>
                <w:sz w:val="24"/>
                <w:szCs w:val="24"/>
              </w:rPr>
              <w:t>,</w:t>
            </w:r>
            <w:r>
              <w:rPr>
                <w:rFonts w:ascii="Arial" w:hAnsi="Arial" w:cs="Arial"/>
                <w:sz w:val="24"/>
                <w:szCs w:val="24"/>
              </w:rPr>
              <w:t>242</w:t>
            </w:r>
          </w:p>
        </w:tc>
        <w:tc>
          <w:tcPr>
            <w:tcW w:w="1849" w:type="dxa"/>
          </w:tcPr>
          <w:p w:rsidR="00C26FC7" w:rsidRDefault="00C26FC7" w:rsidP="00C26FC7">
            <w:pPr>
              <w:jc w:val="center"/>
              <w:rPr>
                <w:rFonts w:ascii="Arial" w:hAnsi="Arial" w:cs="Arial"/>
                <w:sz w:val="24"/>
                <w:szCs w:val="24"/>
              </w:rPr>
            </w:pPr>
            <w:r>
              <w:rPr>
                <w:rFonts w:ascii="Arial" w:hAnsi="Arial" w:cs="Arial"/>
                <w:sz w:val="24"/>
                <w:szCs w:val="24"/>
              </w:rPr>
              <w:t>88.80%</w:t>
            </w:r>
          </w:p>
        </w:tc>
      </w:tr>
      <w:tr w:rsidR="00C26FC7" w:rsidTr="00C26FC7">
        <w:tc>
          <w:tcPr>
            <w:tcW w:w="3936" w:type="dxa"/>
            <w:shd w:val="clear" w:color="auto" w:fill="FFFFFF" w:themeFill="background1"/>
          </w:tcPr>
          <w:p w:rsidR="00C26FC7" w:rsidRDefault="00C26FC7" w:rsidP="00C26FC7">
            <w:pPr>
              <w:rPr>
                <w:rFonts w:ascii="Arial" w:hAnsi="Arial" w:cs="Arial"/>
                <w:sz w:val="24"/>
                <w:szCs w:val="24"/>
              </w:rPr>
            </w:pPr>
            <w:r>
              <w:rPr>
                <w:rFonts w:ascii="Arial" w:hAnsi="Arial" w:cs="Arial"/>
                <w:sz w:val="24"/>
                <w:szCs w:val="24"/>
              </w:rPr>
              <w:t>Black – Caribbean</w:t>
            </w:r>
          </w:p>
          <w:p w:rsidR="00C26FC7" w:rsidRDefault="00C26FC7" w:rsidP="00C26FC7">
            <w:pPr>
              <w:rPr>
                <w:rFonts w:ascii="Arial" w:hAnsi="Arial" w:cs="Arial"/>
                <w:sz w:val="24"/>
                <w:szCs w:val="24"/>
              </w:rPr>
            </w:pPr>
          </w:p>
        </w:tc>
        <w:tc>
          <w:tcPr>
            <w:tcW w:w="1109" w:type="dxa"/>
          </w:tcPr>
          <w:p w:rsidR="00C26FC7" w:rsidRDefault="00C26FC7" w:rsidP="00C26FC7">
            <w:pPr>
              <w:jc w:val="center"/>
              <w:rPr>
                <w:rFonts w:ascii="Arial" w:hAnsi="Arial" w:cs="Arial"/>
                <w:sz w:val="24"/>
                <w:szCs w:val="24"/>
              </w:rPr>
            </w:pPr>
            <w:r>
              <w:rPr>
                <w:rFonts w:ascii="Arial" w:hAnsi="Arial" w:cs="Arial"/>
                <w:sz w:val="24"/>
                <w:szCs w:val="24"/>
              </w:rPr>
              <w:t>24</w:t>
            </w:r>
          </w:p>
        </w:tc>
        <w:tc>
          <w:tcPr>
            <w:tcW w:w="1017" w:type="dxa"/>
          </w:tcPr>
          <w:p w:rsidR="00C26FC7" w:rsidRDefault="00C26FC7" w:rsidP="00C26FC7">
            <w:pPr>
              <w:jc w:val="center"/>
              <w:rPr>
                <w:rFonts w:ascii="Arial" w:hAnsi="Arial" w:cs="Arial"/>
                <w:sz w:val="24"/>
                <w:szCs w:val="24"/>
              </w:rPr>
            </w:pPr>
            <w:r>
              <w:rPr>
                <w:rFonts w:ascii="Arial" w:hAnsi="Arial" w:cs="Arial"/>
                <w:sz w:val="24"/>
                <w:szCs w:val="24"/>
              </w:rPr>
              <w:t>11</w:t>
            </w:r>
          </w:p>
        </w:tc>
        <w:tc>
          <w:tcPr>
            <w:tcW w:w="1331" w:type="dxa"/>
          </w:tcPr>
          <w:p w:rsidR="00C26FC7" w:rsidRDefault="00C26FC7" w:rsidP="00C26FC7">
            <w:pPr>
              <w:jc w:val="center"/>
              <w:rPr>
                <w:rFonts w:ascii="Arial" w:hAnsi="Arial" w:cs="Arial"/>
                <w:sz w:val="24"/>
                <w:szCs w:val="24"/>
              </w:rPr>
            </w:pPr>
            <w:r>
              <w:rPr>
                <w:rFonts w:ascii="Arial" w:hAnsi="Arial" w:cs="Arial"/>
                <w:sz w:val="24"/>
                <w:szCs w:val="24"/>
              </w:rPr>
              <w:t>35</w:t>
            </w:r>
          </w:p>
        </w:tc>
        <w:tc>
          <w:tcPr>
            <w:tcW w:w="1849" w:type="dxa"/>
          </w:tcPr>
          <w:p w:rsidR="00C26FC7" w:rsidRDefault="00C26FC7" w:rsidP="00C26FC7">
            <w:pPr>
              <w:jc w:val="center"/>
              <w:rPr>
                <w:rFonts w:ascii="Arial" w:hAnsi="Arial" w:cs="Arial"/>
                <w:sz w:val="24"/>
                <w:szCs w:val="24"/>
              </w:rPr>
            </w:pPr>
            <w:r>
              <w:rPr>
                <w:rFonts w:ascii="Arial" w:hAnsi="Arial" w:cs="Arial"/>
                <w:sz w:val="24"/>
                <w:szCs w:val="24"/>
              </w:rPr>
              <w:t>0.14%</w:t>
            </w:r>
          </w:p>
        </w:tc>
      </w:tr>
      <w:tr w:rsidR="00C26FC7" w:rsidTr="00C26FC7">
        <w:tc>
          <w:tcPr>
            <w:tcW w:w="3936" w:type="dxa"/>
            <w:shd w:val="clear" w:color="auto" w:fill="FFFFFF" w:themeFill="background1"/>
          </w:tcPr>
          <w:p w:rsidR="00C26FC7" w:rsidRDefault="00C26FC7" w:rsidP="00C26FC7">
            <w:pPr>
              <w:rPr>
                <w:rFonts w:ascii="Arial" w:hAnsi="Arial" w:cs="Arial"/>
                <w:sz w:val="24"/>
                <w:szCs w:val="24"/>
              </w:rPr>
            </w:pPr>
            <w:r>
              <w:rPr>
                <w:rFonts w:ascii="Arial" w:hAnsi="Arial" w:cs="Arial"/>
                <w:sz w:val="24"/>
                <w:szCs w:val="24"/>
              </w:rPr>
              <w:t>Black – African</w:t>
            </w:r>
          </w:p>
          <w:p w:rsidR="00C26FC7" w:rsidRDefault="00C26FC7" w:rsidP="00C26FC7">
            <w:pPr>
              <w:rPr>
                <w:rFonts w:ascii="Arial" w:hAnsi="Arial" w:cs="Arial"/>
                <w:sz w:val="24"/>
                <w:szCs w:val="24"/>
              </w:rPr>
            </w:pPr>
          </w:p>
        </w:tc>
        <w:tc>
          <w:tcPr>
            <w:tcW w:w="1109" w:type="dxa"/>
          </w:tcPr>
          <w:p w:rsidR="00C26FC7" w:rsidRDefault="00C26FC7" w:rsidP="00C26FC7">
            <w:pPr>
              <w:jc w:val="center"/>
              <w:rPr>
                <w:rFonts w:ascii="Arial" w:hAnsi="Arial" w:cs="Arial"/>
                <w:sz w:val="24"/>
                <w:szCs w:val="24"/>
              </w:rPr>
            </w:pPr>
            <w:r>
              <w:rPr>
                <w:rFonts w:ascii="Arial" w:hAnsi="Arial" w:cs="Arial"/>
                <w:sz w:val="24"/>
                <w:szCs w:val="24"/>
              </w:rPr>
              <w:t>4</w:t>
            </w:r>
          </w:p>
        </w:tc>
        <w:tc>
          <w:tcPr>
            <w:tcW w:w="1017" w:type="dxa"/>
          </w:tcPr>
          <w:p w:rsidR="00C26FC7" w:rsidRDefault="00C26FC7" w:rsidP="00C26FC7">
            <w:pPr>
              <w:jc w:val="center"/>
              <w:rPr>
                <w:rFonts w:ascii="Arial" w:hAnsi="Arial" w:cs="Arial"/>
                <w:sz w:val="24"/>
                <w:szCs w:val="24"/>
              </w:rPr>
            </w:pPr>
            <w:r>
              <w:rPr>
                <w:rFonts w:ascii="Arial" w:hAnsi="Arial" w:cs="Arial"/>
                <w:sz w:val="24"/>
                <w:szCs w:val="24"/>
              </w:rPr>
              <w:t>3</w:t>
            </w:r>
          </w:p>
        </w:tc>
        <w:tc>
          <w:tcPr>
            <w:tcW w:w="1331" w:type="dxa"/>
          </w:tcPr>
          <w:p w:rsidR="00C26FC7" w:rsidRDefault="00C26FC7" w:rsidP="00C26FC7">
            <w:pPr>
              <w:jc w:val="center"/>
              <w:rPr>
                <w:rFonts w:ascii="Arial" w:hAnsi="Arial" w:cs="Arial"/>
                <w:sz w:val="24"/>
                <w:szCs w:val="24"/>
              </w:rPr>
            </w:pPr>
            <w:r>
              <w:rPr>
                <w:rFonts w:ascii="Arial" w:hAnsi="Arial" w:cs="Arial"/>
                <w:sz w:val="24"/>
                <w:szCs w:val="24"/>
              </w:rPr>
              <w:t>7</w:t>
            </w:r>
          </w:p>
        </w:tc>
        <w:tc>
          <w:tcPr>
            <w:tcW w:w="1849" w:type="dxa"/>
          </w:tcPr>
          <w:p w:rsidR="00C26FC7" w:rsidRDefault="00C26FC7" w:rsidP="00C26FC7">
            <w:pPr>
              <w:jc w:val="center"/>
              <w:rPr>
                <w:rFonts w:ascii="Arial" w:hAnsi="Arial" w:cs="Arial"/>
                <w:sz w:val="24"/>
                <w:szCs w:val="24"/>
              </w:rPr>
            </w:pPr>
            <w:r>
              <w:rPr>
                <w:rFonts w:ascii="Arial" w:hAnsi="Arial" w:cs="Arial"/>
                <w:sz w:val="24"/>
                <w:szCs w:val="24"/>
              </w:rPr>
              <w:t>0.03%</w:t>
            </w:r>
          </w:p>
        </w:tc>
      </w:tr>
      <w:tr w:rsidR="00C26FC7" w:rsidTr="00C26FC7">
        <w:tc>
          <w:tcPr>
            <w:tcW w:w="3936" w:type="dxa"/>
            <w:shd w:val="clear" w:color="auto" w:fill="FFFFFF" w:themeFill="background1"/>
          </w:tcPr>
          <w:p w:rsidR="00C26FC7" w:rsidRDefault="00C26FC7" w:rsidP="00C26FC7">
            <w:pPr>
              <w:rPr>
                <w:rFonts w:ascii="Arial" w:hAnsi="Arial" w:cs="Arial"/>
                <w:sz w:val="24"/>
                <w:szCs w:val="24"/>
              </w:rPr>
            </w:pPr>
            <w:r>
              <w:rPr>
                <w:rFonts w:ascii="Arial" w:hAnsi="Arial" w:cs="Arial"/>
                <w:sz w:val="24"/>
                <w:szCs w:val="24"/>
              </w:rPr>
              <w:t>Other Black Background</w:t>
            </w:r>
          </w:p>
          <w:p w:rsidR="00C26FC7" w:rsidRDefault="00C26FC7" w:rsidP="00C26FC7">
            <w:pPr>
              <w:rPr>
                <w:rFonts w:ascii="Arial" w:hAnsi="Arial" w:cs="Arial"/>
                <w:sz w:val="24"/>
                <w:szCs w:val="24"/>
              </w:rPr>
            </w:pPr>
          </w:p>
        </w:tc>
        <w:tc>
          <w:tcPr>
            <w:tcW w:w="1109" w:type="dxa"/>
          </w:tcPr>
          <w:p w:rsidR="00C26FC7" w:rsidRDefault="00C26FC7" w:rsidP="00C26FC7">
            <w:pPr>
              <w:jc w:val="center"/>
              <w:rPr>
                <w:rFonts w:ascii="Arial" w:hAnsi="Arial" w:cs="Arial"/>
                <w:sz w:val="24"/>
                <w:szCs w:val="24"/>
              </w:rPr>
            </w:pPr>
            <w:r>
              <w:rPr>
                <w:rFonts w:ascii="Arial" w:hAnsi="Arial" w:cs="Arial"/>
                <w:sz w:val="24"/>
                <w:szCs w:val="24"/>
              </w:rPr>
              <w:t>5</w:t>
            </w:r>
          </w:p>
        </w:tc>
        <w:tc>
          <w:tcPr>
            <w:tcW w:w="1017" w:type="dxa"/>
          </w:tcPr>
          <w:p w:rsidR="00C26FC7" w:rsidRDefault="00C26FC7" w:rsidP="00C26FC7">
            <w:pPr>
              <w:jc w:val="center"/>
              <w:rPr>
                <w:rFonts w:ascii="Arial" w:hAnsi="Arial" w:cs="Arial"/>
                <w:sz w:val="24"/>
                <w:szCs w:val="24"/>
              </w:rPr>
            </w:pPr>
            <w:r>
              <w:rPr>
                <w:rFonts w:ascii="Arial" w:hAnsi="Arial" w:cs="Arial"/>
                <w:sz w:val="24"/>
                <w:szCs w:val="24"/>
              </w:rPr>
              <w:t>8</w:t>
            </w:r>
          </w:p>
        </w:tc>
        <w:tc>
          <w:tcPr>
            <w:tcW w:w="1331" w:type="dxa"/>
          </w:tcPr>
          <w:p w:rsidR="00C26FC7" w:rsidRDefault="00C26FC7" w:rsidP="00C26FC7">
            <w:pPr>
              <w:jc w:val="center"/>
              <w:rPr>
                <w:rFonts w:ascii="Arial" w:hAnsi="Arial" w:cs="Arial"/>
                <w:sz w:val="24"/>
                <w:szCs w:val="24"/>
              </w:rPr>
            </w:pPr>
            <w:r>
              <w:rPr>
                <w:rFonts w:ascii="Arial" w:hAnsi="Arial" w:cs="Arial"/>
                <w:sz w:val="24"/>
                <w:szCs w:val="24"/>
              </w:rPr>
              <w:t>13</w:t>
            </w:r>
          </w:p>
        </w:tc>
        <w:tc>
          <w:tcPr>
            <w:tcW w:w="1849" w:type="dxa"/>
          </w:tcPr>
          <w:p w:rsidR="00C26FC7" w:rsidRDefault="00C26FC7" w:rsidP="00C26FC7">
            <w:pPr>
              <w:jc w:val="center"/>
              <w:rPr>
                <w:rFonts w:ascii="Arial" w:hAnsi="Arial" w:cs="Arial"/>
                <w:sz w:val="24"/>
                <w:szCs w:val="24"/>
              </w:rPr>
            </w:pPr>
            <w:r>
              <w:rPr>
                <w:rFonts w:ascii="Arial" w:hAnsi="Arial" w:cs="Arial"/>
                <w:sz w:val="24"/>
                <w:szCs w:val="24"/>
              </w:rPr>
              <w:t>0.05%</w:t>
            </w:r>
          </w:p>
        </w:tc>
      </w:tr>
      <w:tr w:rsidR="00C26FC7" w:rsidTr="00C26FC7">
        <w:tc>
          <w:tcPr>
            <w:tcW w:w="3936" w:type="dxa"/>
            <w:shd w:val="clear" w:color="auto" w:fill="FFFFFF" w:themeFill="background1"/>
          </w:tcPr>
          <w:p w:rsidR="00C26FC7" w:rsidRDefault="00C26FC7" w:rsidP="00C26FC7">
            <w:pPr>
              <w:rPr>
                <w:rFonts w:ascii="Arial" w:hAnsi="Arial" w:cs="Arial"/>
                <w:sz w:val="24"/>
                <w:szCs w:val="24"/>
              </w:rPr>
            </w:pPr>
            <w:r>
              <w:rPr>
                <w:rFonts w:ascii="Arial" w:hAnsi="Arial" w:cs="Arial"/>
                <w:sz w:val="24"/>
                <w:szCs w:val="24"/>
              </w:rPr>
              <w:t>Asian – Indian</w:t>
            </w:r>
          </w:p>
          <w:p w:rsidR="00C26FC7" w:rsidRDefault="00C26FC7" w:rsidP="00C26FC7">
            <w:pPr>
              <w:rPr>
                <w:rFonts w:ascii="Arial" w:hAnsi="Arial" w:cs="Arial"/>
                <w:sz w:val="24"/>
                <w:szCs w:val="24"/>
              </w:rPr>
            </w:pPr>
          </w:p>
        </w:tc>
        <w:tc>
          <w:tcPr>
            <w:tcW w:w="1109" w:type="dxa"/>
          </w:tcPr>
          <w:p w:rsidR="00C26FC7" w:rsidRDefault="00C26FC7" w:rsidP="00C26FC7">
            <w:pPr>
              <w:jc w:val="center"/>
              <w:rPr>
                <w:rFonts w:ascii="Arial" w:hAnsi="Arial" w:cs="Arial"/>
                <w:sz w:val="24"/>
                <w:szCs w:val="24"/>
              </w:rPr>
            </w:pPr>
            <w:r>
              <w:rPr>
                <w:rFonts w:ascii="Arial" w:hAnsi="Arial" w:cs="Arial"/>
                <w:sz w:val="24"/>
                <w:szCs w:val="24"/>
              </w:rPr>
              <w:t>14</w:t>
            </w:r>
          </w:p>
        </w:tc>
        <w:tc>
          <w:tcPr>
            <w:tcW w:w="1017" w:type="dxa"/>
          </w:tcPr>
          <w:p w:rsidR="00C26FC7" w:rsidRDefault="00C26FC7" w:rsidP="00C26FC7">
            <w:pPr>
              <w:jc w:val="center"/>
              <w:rPr>
                <w:rFonts w:ascii="Arial" w:hAnsi="Arial" w:cs="Arial"/>
                <w:sz w:val="24"/>
                <w:szCs w:val="24"/>
              </w:rPr>
            </w:pPr>
            <w:r>
              <w:rPr>
                <w:rFonts w:ascii="Arial" w:hAnsi="Arial" w:cs="Arial"/>
                <w:sz w:val="24"/>
                <w:szCs w:val="24"/>
              </w:rPr>
              <w:t>30</w:t>
            </w:r>
          </w:p>
        </w:tc>
        <w:tc>
          <w:tcPr>
            <w:tcW w:w="1331" w:type="dxa"/>
          </w:tcPr>
          <w:p w:rsidR="00C26FC7" w:rsidRDefault="00C26FC7" w:rsidP="00C26FC7">
            <w:pPr>
              <w:jc w:val="center"/>
              <w:rPr>
                <w:rFonts w:ascii="Arial" w:hAnsi="Arial" w:cs="Arial"/>
                <w:sz w:val="24"/>
                <w:szCs w:val="24"/>
              </w:rPr>
            </w:pPr>
            <w:r>
              <w:rPr>
                <w:rFonts w:ascii="Arial" w:hAnsi="Arial" w:cs="Arial"/>
                <w:sz w:val="24"/>
                <w:szCs w:val="24"/>
              </w:rPr>
              <w:t>44</w:t>
            </w:r>
          </w:p>
        </w:tc>
        <w:tc>
          <w:tcPr>
            <w:tcW w:w="1849" w:type="dxa"/>
          </w:tcPr>
          <w:p w:rsidR="00C26FC7" w:rsidRDefault="00C26FC7" w:rsidP="00C26FC7">
            <w:pPr>
              <w:jc w:val="center"/>
              <w:rPr>
                <w:rFonts w:ascii="Arial" w:hAnsi="Arial" w:cs="Arial"/>
                <w:sz w:val="24"/>
                <w:szCs w:val="24"/>
              </w:rPr>
            </w:pPr>
            <w:r>
              <w:rPr>
                <w:rFonts w:ascii="Arial" w:hAnsi="Arial" w:cs="Arial"/>
                <w:sz w:val="24"/>
                <w:szCs w:val="24"/>
              </w:rPr>
              <w:t>0.18%</w:t>
            </w:r>
          </w:p>
        </w:tc>
      </w:tr>
      <w:tr w:rsidR="00C26FC7" w:rsidTr="00C26FC7">
        <w:tc>
          <w:tcPr>
            <w:tcW w:w="3936" w:type="dxa"/>
            <w:shd w:val="clear" w:color="auto" w:fill="FFFFFF" w:themeFill="background1"/>
          </w:tcPr>
          <w:p w:rsidR="00C26FC7" w:rsidRDefault="00C26FC7" w:rsidP="00C26FC7">
            <w:pPr>
              <w:rPr>
                <w:rFonts w:ascii="Arial" w:hAnsi="Arial" w:cs="Arial"/>
                <w:sz w:val="24"/>
                <w:szCs w:val="24"/>
              </w:rPr>
            </w:pPr>
            <w:r>
              <w:rPr>
                <w:rFonts w:ascii="Arial" w:hAnsi="Arial" w:cs="Arial"/>
                <w:sz w:val="24"/>
                <w:szCs w:val="24"/>
              </w:rPr>
              <w:t>Asian – Pakistani</w:t>
            </w:r>
          </w:p>
          <w:p w:rsidR="00C26FC7" w:rsidRDefault="00C26FC7" w:rsidP="00C26FC7">
            <w:pPr>
              <w:rPr>
                <w:rFonts w:ascii="Arial" w:hAnsi="Arial" w:cs="Arial"/>
                <w:sz w:val="24"/>
                <w:szCs w:val="24"/>
              </w:rPr>
            </w:pPr>
          </w:p>
        </w:tc>
        <w:tc>
          <w:tcPr>
            <w:tcW w:w="1109" w:type="dxa"/>
          </w:tcPr>
          <w:p w:rsidR="00C26FC7" w:rsidRDefault="00C26FC7" w:rsidP="00C26FC7">
            <w:pPr>
              <w:jc w:val="center"/>
              <w:rPr>
                <w:rFonts w:ascii="Arial" w:hAnsi="Arial" w:cs="Arial"/>
                <w:sz w:val="24"/>
                <w:szCs w:val="24"/>
              </w:rPr>
            </w:pPr>
            <w:r>
              <w:rPr>
                <w:rFonts w:ascii="Arial" w:hAnsi="Arial" w:cs="Arial"/>
                <w:sz w:val="24"/>
                <w:szCs w:val="24"/>
              </w:rPr>
              <w:t>11</w:t>
            </w:r>
          </w:p>
        </w:tc>
        <w:tc>
          <w:tcPr>
            <w:tcW w:w="1017" w:type="dxa"/>
          </w:tcPr>
          <w:p w:rsidR="00C26FC7" w:rsidRDefault="00C26FC7" w:rsidP="00C26FC7">
            <w:pPr>
              <w:jc w:val="center"/>
              <w:rPr>
                <w:rFonts w:ascii="Arial" w:hAnsi="Arial" w:cs="Arial"/>
                <w:sz w:val="24"/>
                <w:szCs w:val="24"/>
              </w:rPr>
            </w:pPr>
            <w:r>
              <w:rPr>
                <w:rFonts w:ascii="Arial" w:hAnsi="Arial" w:cs="Arial"/>
                <w:sz w:val="24"/>
                <w:szCs w:val="24"/>
              </w:rPr>
              <w:t>32</w:t>
            </w:r>
          </w:p>
        </w:tc>
        <w:tc>
          <w:tcPr>
            <w:tcW w:w="1331" w:type="dxa"/>
          </w:tcPr>
          <w:p w:rsidR="00C26FC7" w:rsidRDefault="00C26FC7" w:rsidP="00C26FC7">
            <w:pPr>
              <w:jc w:val="center"/>
              <w:rPr>
                <w:rFonts w:ascii="Arial" w:hAnsi="Arial" w:cs="Arial"/>
                <w:sz w:val="24"/>
                <w:szCs w:val="24"/>
              </w:rPr>
            </w:pPr>
            <w:r>
              <w:rPr>
                <w:rFonts w:ascii="Arial" w:hAnsi="Arial" w:cs="Arial"/>
                <w:sz w:val="24"/>
                <w:szCs w:val="24"/>
              </w:rPr>
              <w:t>43</w:t>
            </w:r>
          </w:p>
        </w:tc>
        <w:tc>
          <w:tcPr>
            <w:tcW w:w="1849" w:type="dxa"/>
          </w:tcPr>
          <w:p w:rsidR="00C26FC7" w:rsidRDefault="00C26FC7" w:rsidP="00C26FC7">
            <w:pPr>
              <w:jc w:val="center"/>
              <w:rPr>
                <w:rFonts w:ascii="Arial" w:hAnsi="Arial" w:cs="Arial"/>
                <w:sz w:val="24"/>
                <w:szCs w:val="24"/>
              </w:rPr>
            </w:pPr>
            <w:r>
              <w:rPr>
                <w:rFonts w:ascii="Arial" w:hAnsi="Arial" w:cs="Arial"/>
                <w:sz w:val="24"/>
                <w:szCs w:val="24"/>
              </w:rPr>
              <w:t>0.17%</w:t>
            </w:r>
          </w:p>
        </w:tc>
      </w:tr>
      <w:tr w:rsidR="00C26FC7" w:rsidTr="00C26FC7">
        <w:tc>
          <w:tcPr>
            <w:tcW w:w="3936" w:type="dxa"/>
            <w:shd w:val="clear" w:color="auto" w:fill="FFFFFF" w:themeFill="background1"/>
          </w:tcPr>
          <w:p w:rsidR="00C26FC7" w:rsidRDefault="00C26FC7" w:rsidP="00C26FC7">
            <w:pPr>
              <w:rPr>
                <w:rFonts w:ascii="Arial" w:hAnsi="Arial" w:cs="Arial"/>
                <w:sz w:val="24"/>
                <w:szCs w:val="24"/>
              </w:rPr>
            </w:pPr>
            <w:r>
              <w:rPr>
                <w:rFonts w:ascii="Arial" w:hAnsi="Arial" w:cs="Arial"/>
                <w:sz w:val="24"/>
                <w:szCs w:val="24"/>
              </w:rPr>
              <w:t>Asian – Bangladeshi</w:t>
            </w:r>
          </w:p>
          <w:p w:rsidR="00C26FC7" w:rsidRDefault="00C26FC7" w:rsidP="00C26FC7">
            <w:pPr>
              <w:rPr>
                <w:rFonts w:ascii="Arial" w:hAnsi="Arial" w:cs="Arial"/>
                <w:sz w:val="24"/>
                <w:szCs w:val="24"/>
              </w:rPr>
            </w:pPr>
          </w:p>
        </w:tc>
        <w:tc>
          <w:tcPr>
            <w:tcW w:w="1109" w:type="dxa"/>
          </w:tcPr>
          <w:p w:rsidR="00C26FC7" w:rsidRDefault="00C26FC7" w:rsidP="00C26FC7">
            <w:pPr>
              <w:jc w:val="center"/>
              <w:rPr>
                <w:rFonts w:ascii="Arial" w:hAnsi="Arial" w:cs="Arial"/>
                <w:sz w:val="24"/>
                <w:szCs w:val="24"/>
              </w:rPr>
            </w:pPr>
            <w:r>
              <w:rPr>
                <w:rFonts w:ascii="Arial" w:hAnsi="Arial" w:cs="Arial"/>
                <w:sz w:val="24"/>
                <w:szCs w:val="24"/>
              </w:rPr>
              <w:t>33</w:t>
            </w:r>
          </w:p>
        </w:tc>
        <w:tc>
          <w:tcPr>
            <w:tcW w:w="1017" w:type="dxa"/>
          </w:tcPr>
          <w:p w:rsidR="00C26FC7" w:rsidRDefault="00C26FC7" w:rsidP="00C26FC7">
            <w:pPr>
              <w:jc w:val="center"/>
              <w:rPr>
                <w:rFonts w:ascii="Arial" w:hAnsi="Arial" w:cs="Arial"/>
                <w:sz w:val="24"/>
                <w:szCs w:val="24"/>
              </w:rPr>
            </w:pPr>
            <w:r>
              <w:rPr>
                <w:rFonts w:ascii="Arial" w:hAnsi="Arial" w:cs="Arial"/>
                <w:sz w:val="24"/>
                <w:szCs w:val="24"/>
              </w:rPr>
              <w:t>39</w:t>
            </w:r>
          </w:p>
        </w:tc>
        <w:tc>
          <w:tcPr>
            <w:tcW w:w="1331" w:type="dxa"/>
          </w:tcPr>
          <w:p w:rsidR="00C26FC7" w:rsidRDefault="00C26FC7" w:rsidP="00C26FC7">
            <w:pPr>
              <w:jc w:val="center"/>
              <w:rPr>
                <w:rFonts w:ascii="Arial" w:hAnsi="Arial" w:cs="Arial"/>
                <w:sz w:val="24"/>
                <w:szCs w:val="24"/>
              </w:rPr>
            </w:pPr>
            <w:r>
              <w:rPr>
                <w:rFonts w:ascii="Arial" w:hAnsi="Arial" w:cs="Arial"/>
                <w:sz w:val="24"/>
                <w:szCs w:val="24"/>
              </w:rPr>
              <w:t>72</w:t>
            </w:r>
          </w:p>
        </w:tc>
        <w:tc>
          <w:tcPr>
            <w:tcW w:w="1849" w:type="dxa"/>
          </w:tcPr>
          <w:p w:rsidR="00C26FC7" w:rsidRDefault="00C26FC7" w:rsidP="00C26FC7">
            <w:pPr>
              <w:jc w:val="center"/>
              <w:rPr>
                <w:rFonts w:ascii="Arial" w:hAnsi="Arial" w:cs="Arial"/>
                <w:sz w:val="24"/>
                <w:szCs w:val="24"/>
              </w:rPr>
            </w:pPr>
            <w:r>
              <w:rPr>
                <w:rFonts w:ascii="Arial" w:hAnsi="Arial" w:cs="Arial"/>
                <w:sz w:val="24"/>
                <w:szCs w:val="24"/>
              </w:rPr>
              <w:t>0.29%</w:t>
            </w:r>
          </w:p>
        </w:tc>
      </w:tr>
      <w:tr w:rsidR="00C26FC7" w:rsidTr="00C26FC7">
        <w:tc>
          <w:tcPr>
            <w:tcW w:w="3936" w:type="dxa"/>
            <w:shd w:val="clear" w:color="auto" w:fill="FFFFFF" w:themeFill="background1"/>
          </w:tcPr>
          <w:p w:rsidR="00C26FC7" w:rsidRDefault="00C26FC7" w:rsidP="00C26FC7">
            <w:pPr>
              <w:rPr>
                <w:rFonts w:ascii="Arial" w:hAnsi="Arial" w:cs="Arial"/>
                <w:sz w:val="24"/>
                <w:szCs w:val="24"/>
              </w:rPr>
            </w:pPr>
            <w:r>
              <w:rPr>
                <w:rFonts w:ascii="Arial" w:hAnsi="Arial" w:cs="Arial"/>
                <w:sz w:val="24"/>
                <w:szCs w:val="24"/>
              </w:rPr>
              <w:t>Chinese</w:t>
            </w:r>
          </w:p>
          <w:p w:rsidR="00C26FC7" w:rsidRDefault="00C26FC7" w:rsidP="00C26FC7">
            <w:pPr>
              <w:rPr>
                <w:rFonts w:ascii="Arial" w:hAnsi="Arial" w:cs="Arial"/>
                <w:sz w:val="24"/>
                <w:szCs w:val="24"/>
              </w:rPr>
            </w:pPr>
          </w:p>
        </w:tc>
        <w:tc>
          <w:tcPr>
            <w:tcW w:w="1109" w:type="dxa"/>
          </w:tcPr>
          <w:p w:rsidR="00C26FC7" w:rsidRDefault="00C26FC7" w:rsidP="00C26FC7">
            <w:pPr>
              <w:jc w:val="center"/>
              <w:rPr>
                <w:rFonts w:ascii="Arial" w:hAnsi="Arial" w:cs="Arial"/>
                <w:sz w:val="24"/>
                <w:szCs w:val="24"/>
              </w:rPr>
            </w:pPr>
            <w:r>
              <w:rPr>
                <w:rFonts w:ascii="Arial" w:hAnsi="Arial" w:cs="Arial"/>
                <w:sz w:val="24"/>
                <w:szCs w:val="24"/>
              </w:rPr>
              <w:t>27</w:t>
            </w:r>
          </w:p>
        </w:tc>
        <w:tc>
          <w:tcPr>
            <w:tcW w:w="1017" w:type="dxa"/>
          </w:tcPr>
          <w:p w:rsidR="00C26FC7" w:rsidRDefault="00C26FC7" w:rsidP="00C26FC7">
            <w:pPr>
              <w:jc w:val="center"/>
              <w:rPr>
                <w:rFonts w:ascii="Arial" w:hAnsi="Arial" w:cs="Arial"/>
                <w:sz w:val="24"/>
                <w:szCs w:val="24"/>
              </w:rPr>
            </w:pPr>
            <w:r>
              <w:rPr>
                <w:rFonts w:ascii="Arial" w:hAnsi="Arial" w:cs="Arial"/>
                <w:sz w:val="24"/>
                <w:szCs w:val="24"/>
              </w:rPr>
              <w:t>22</w:t>
            </w:r>
          </w:p>
        </w:tc>
        <w:tc>
          <w:tcPr>
            <w:tcW w:w="1331" w:type="dxa"/>
          </w:tcPr>
          <w:p w:rsidR="00C26FC7" w:rsidRDefault="00C26FC7" w:rsidP="00C26FC7">
            <w:pPr>
              <w:jc w:val="center"/>
              <w:rPr>
                <w:rFonts w:ascii="Arial" w:hAnsi="Arial" w:cs="Arial"/>
                <w:sz w:val="24"/>
                <w:szCs w:val="24"/>
              </w:rPr>
            </w:pPr>
            <w:r>
              <w:rPr>
                <w:rFonts w:ascii="Arial" w:hAnsi="Arial" w:cs="Arial"/>
                <w:sz w:val="24"/>
                <w:szCs w:val="24"/>
              </w:rPr>
              <w:t>49</w:t>
            </w:r>
          </w:p>
        </w:tc>
        <w:tc>
          <w:tcPr>
            <w:tcW w:w="1849" w:type="dxa"/>
          </w:tcPr>
          <w:p w:rsidR="00C26FC7" w:rsidRDefault="00C26FC7" w:rsidP="00C26FC7">
            <w:pPr>
              <w:jc w:val="center"/>
              <w:rPr>
                <w:rFonts w:ascii="Arial" w:hAnsi="Arial" w:cs="Arial"/>
                <w:sz w:val="24"/>
                <w:szCs w:val="24"/>
              </w:rPr>
            </w:pPr>
            <w:r>
              <w:rPr>
                <w:rFonts w:ascii="Arial" w:hAnsi="Arial" w:cs="Arial"/>
                <w:sz w:val="24"/>
                <w:szCs w:val="24"/>
              </w:rPr>
              <w:t>0.20%</w:t>
            </w:r>
          </w:p>
        </w:tc>
      </w:tr>
      <w:tr w:rsidR="00C26FC7" w:rsidTr="00C26FC7">
        <w:tc>
          <w:tcPr>
            <w:tcW w:w="3936" w:type="dxa"/>
            <w:shd w:val="clear" w:color="auto" w:fill="FFFFFF" w:themeFill="background1"/>
          </w:tcPr>
          <w:p w:rsidR="00C26FC7" w:rsidRDefault="00C26FC7" w:rsidP="00C26FC7">
            <w:pPr>
              <w:rPr>
                <w:rFonts w:ascii="Arial" w:hAnsi="Arial" w:cs="Arial"/>
                <w:sz w:val="24"/>
                <w:szCs w:val="24"/>
              </w:rPr>
            </w:pPr>
            <w:r>
              <w:rPr>
                <w:rFonts w:ascii="Arial" w:hAnsi="Arial" w:cs="Arial"/>
                <w:sz w:val="24"/>
                <w:szCs w:val="24"/>
              </w:rPr>
              <w:t>Other Asian Background</w:t>
            </w:r>
          </w:p>
          <w:p w:rsidR="00C26FC7" w:rsidRDefault="00C26FC7" w:rsidP="00C26FC7">
            <w:pPr>
              <w:rPr>
                <w:rFonts w:ascii="Arial" w:hAnsi="Arial" w:cs="Arial"/>
                <w:sz w:val="24"/>
                <w:szCs w:val="24"/>
              </w:rPr>
            </w:pPr>
          </w:p>
        </w:tc>
        <w:tc>
          <w:tcPr>
            <w:tcW w:w="1109" w:type="dxa"/>
          </w:tcPr>
          <w:p w:rsidR="00C26FC7" w:rsidRDefault="00C26FC7" w:rsidP="00C26FC7">
            <w:pPr>
              <w:jc w:val="center"/>
              <w:rPr>
                <w:rFonts w:ascii="Arial" w:hAnsi="Arial" w:cs="Arial"/>
                <w:sz w:val="24"/>
                <w:szCs w:val="24"/>
              </w:rPr>
            </w:pPr>
            <w:r>
              <w:rPr>
                <w:rFonts w:ascii="Arial" w:hAnsi="Arial" w:cs="Arial"/>
                <w:sz w:val="24"/>
                <w:szCs w:val="24"/>
              </w:rPr>
              <w:t>39</w:t>
            </w:r>
          </w:p>
        </w:tc>
        <w:tc>
          <w:tcPr>
            <w:tcW w:w="1017" w:type="dxa"/>
          </w:tcPr>
          <w:p w:rsidR="00C26FC7" w:rsidRDefault="00C26FC7" w:rsidP="00C26FC7">
            <w:pPr>
              <w:jc w:val="center"/>
              <w:rPr>
                <w:rFonts w:ascii="Arial" w:hAnsi="Arial" w:cs="Arial"/>
                <w:sz w:val="24"/>
                <w:szCs w:val="24"/>
              </w:rPr>
            </w:pPr>
            <w:r>
              <w:rPr>
                <w:rFonts w:ascii="Arial" w:hAnsi="Arial" w:cs="Arial"/>
                <w:sz w:val="24"/>
                <w:szCs w:val="24"/>
              </w:rPr>
              <w:t>212</w:t>
            </w:r>
          </w:p>
        </w:tc>
        <w:tc>
          <w:tcPr>
            <w:tcW w:w="1331" w:type="dxa"/>
          </w:tcPr>
          <w:p w:rsidR="00C26FC7" w:rsidRDefault="00C26FC7" w:rsidP="00C26FC7">
            <w:pPr>
              <w:jc w:val="center"/>
              <w:rPr>
                <w:rFonts w:ascii="Arial" w:hAnsi="Arial" w:cs="Arial"/>
                <w:sz w:val="24"/>
                <w:szCs w:val="24"/>
              </w:rPr>
            </w:pPr>
            <w:r>
              <w:rPr>
                <w:rFonts w:ascii="Arial" w:hAnsi="Arial" w:cs="Arial"/>
                <w:sz w:val="24"/>
                <w:szCs w:val="24"/>
              </w:rPr>
              <w:t>251</w:t>
            </w:r>
          </w:p>
        </w:tc>
        <w:tc>
          <w:tcPr>
            <w:tcW w:w="1849" w:type="dxa"/>
          </w:tcPr>
          <w:p w:rsidR="00C26FC7" w:rsidRDefault="00C26FC7" w:rsidP="00C26FC7">
            <w:pPr>
              <w:jc w:val="center"/>
              <w:rPr>
                <w:rFonts w:ascii="Arial" w:hAnsi="Arial" w:cs="Arial"/>
                <w:sz w:val="24"/>
                <w:szCs w:val="24"/>
              </w:rPr>
            </w:pPr>
            <w:r>
              <w:rPr>
                <w:rFonts w:ascii="Arial" w:hAnsi="Arial" w:cs="Arial"/>
                <w:sz w:val="24"/>
                <w:szCs w:val="24"/>
              </w:rPr>
              <w:t>1.00%</w:t>
            </w:r>
          </w:p>
        </w:tc>
      </w:tr>
      <w:tr w:rsidR="00C26FC7" w:rsidTr="00C26FC7">
        <w:tc>
          <w:tcPr>
            <w:tcW w:w="3936" w:type="dxa"/>
            <w:shd w:val="clear" w:color="auto" w:fill="FFFFFF" w:themeFill="background1"/>
          </w:tcPr>
          <w:p w:rsidR="00C26FC7" w:rsidRDefault="00C26FC7" w:rsidP="00C26FC7">
            <w:pPr>
              <w:rPr>
                <w:rFonts w:ascii="Arial" w:hAnsi="Arial" w:cs="Arial"/>
                <w:sz w:val="24"/>
                <w:szCs w:val="24"/>
              </w:rPr>
            </w:pPr>
            <w:r>
              <w:rPr>
                <w:rFonts w:ascii="Arial" w:hAnsi="Arial" w:cs="Arial"/>
                <w:sz w:val="24"/>
                <w:szCs w:val="24"/>
              </w:rPr>
              <w:t>Mixed – White&amp; Black Caribbean</w:t>
            </w:r>
          </w:p>
          <w:p w:rsidR="00C26FC7" w:rsidRDefault="00C26FC7" w:rsidP="00C26FC7">
            <w:pPr>
              <w:rPr>
                <w:rFonts w:ascii="Arial" w:hAnsi="Arial" w:cs="Arial"/>
                <w:sz w:val="24"/>
                <w:szCs w:val="24"/>
              </w:rPr>
            </w:pPr>
          </w:p>
        </w:tc>
        <w:tc>
          <w:tcPr>
            <w:tcW w:w="1109" w:type="dxa"/>
          </w:tcPr>
          <w:p w:rsidR="00C26FC7" w:rsidRDefault="00C26FC7" w:rsidP="00C26FC7">
            <w:pPr>
              <w:jc w:val="center"/>
              <w:rPr>
                <w:rFonts w:ascii="Arial" w:hAnsi="Arial" w:cs="Arial"/>
                <w:sz w:val="24"/>
                <w:szCs w:val="24"/>
              </w:rPr>
            </w:pPr>
            <w:r>
              <w:rPr>
                <w:rFonts w:ascii="Arial" w:hAnsi="Arial" w:cs="Arial"/>
                <w:sz w:val="24"/>
                <w:szCs w:val="24"/>
              </w:rPr>
              <w:t>30</w:t>
            </w:r>
          </w:p>
        </w:tc>
        <w:tc>
          <w:tcPr>
            <w:tcW w:w="1017" w:type="dxa"/>
          </w:tcPr>
          <w:p w:rsidR="00C26FC7" w:rsidRDefault="00C26FC7" w:rsidP="00C26FC7">
            <w:pPr>
              <w:jc w:val="center"/>
              <w:rPr>
                <w:rFonts w:ascii="Arial" w:hAnsi="Arial" w:cs="Arial"/>
                <w:sz w:val="24"/>
                <w:szCs w:val="24"/>
              </w:rPr>
            </w:pPr>
            <w:r>
              <w:rPr>
                <w:rFonts w:ascii="Arial" w:hAnsi="Arial" w:cs="Arial"/>
                <w:sz w:val="24"/>
                <w:szCs w:val="24"/>
              </w:rPr>
              <w:t>14</w:t>
            </w:r>
          </w:p>
        </w:tc>
        <w:tc>
          <w:tcPr>
            <w:tcW w:w="1331" w:type="dxa"/>
          </w:tcPr>
          <w:p w:rsidR="00C26FC7" w:rsidRDefault="00C26FC7" w:rsidP="00C26FC7">
            <w:pPr>
              <w:jc w:val="center"/>
              <w:rPr>
                <w:rFonts w:ascii="Arial" w:hAnsi="Arial" w:cs="Arial"/>
                <w:sz w:val="24"/>
                <w:szCs w:val="24"/>
              </w:rPr>
            </w:pPr>
            <w:r>
              <w:rPr>
                <w:rFonts w:ascii="Arial" w:hAnsi="Arial" w:cs="Arial"/>
                <w:sz w:val="24"/>
                <w:szCs w:val="24"/>
              </w:rPr>
              <w:t>44</w:t>
            </w:r>
          </w:p>
        </w:tc>
        <w:tc>
          <w:tcPr>
            <w:tcW w:w="1849" w:type="dxa"/>
          </w:tcPr>
          <w:p w:rsidR="00C26FC7" w:rsidRDefault="00C26FC7" w:rsidP="00C26FC7">
            <w:pPr>
              <w:jc w:val="center"/>
              <w:rPr>
                <w:rFonts w:ascii="Arial" w:hAnsi="Arial" w:cs="Arial"/>
                <w:sz w:val="24"/>
                <w:szCs w:val="24"/>
              </w:rPr>
            </w:pPr>
            <w:r>
              <w:rPr>
                <w:rFonts w:ascii="Arial" w:hAnsi="Arial" w:cs="Arial"/>
                <w:sz w:val="24"/>
                <w:szCs w:val="24"/>
              </w:rPr>
              <w:t>0.18%</w:t>
            </w:r>
          </w:p>
        </w:tc>
      </w:tr>
      <w:tr w:rsidR="00C26FC7" w:rsidTr="00C26FC7">
        <w:tc>
          <w:tcPr>
            <w:tcW w:w="3936" w:type="dxa"/>
            <w:shd w:val="clear" w:color="auto" w:fill="FFFFFF" w:themeFill="background1"/>
          </w:tcPr>
          <w:p w:rsidR="00C26FC7" w:rsidRDefault="00C26FC7" w:rsidP="00C26FC7">
            <w:pPr>
              <w:rPr>
                <w:rFonts w:ascii="Arial" w:hAnsi="Arial" w:cs="Arial"/>
                <w:sz w:val="24"/>
                <w:szCs w:val="24"/>
              </w:rPr>
            </w:pPr>
            <w:r>
              <w:rPr>
                <w:rFonts w:ascii="Arial" w:hAnsi="Arial" w:cs="Arial"/>
                <w:sz w:val="24"/>
                <w:szCs w:val="24"/>
              </w:rPr>
              <w:t>Mixed – White &amp; Black African</w:t>
            </w:r>
          </w:p>
          <w:p w:rsidR="00C26FC7" w:rsidRDefault="00C26FC7" w:rsidP="00C26FC7">
            <w:pPr>
              <w:rPr>
                <w:rFonts w:ascii="Arial" w:hAnsi="Arial" w:cs="Arial"/>
                <w:sz w:val="24"/>
                <w:szCs w:val="24"/>
              </w:rPr>
            </w:pPr>
          </w:p>
        </w:tc>
        <w:tc>
          <w:tcPr>
            <w:tcW w:w="1109" w:type="dxa"/>
          </w:tcPr>
          <w:p w:rsidR="00C26FC7" w:rsidRDefault="00C26FC7" w:rsidP="00C26FC7">
            <w:pPr>
              <w:jc w:val="center"/>
              <w:rPr>
                <w:rFonts w:ascii="Arial" w:hAnsi="Arial" w:cs="Arial"/>
                <w:sz w:val="24"/>
                <w:szCs w:val="24"/>
              </w:rPr>
            </w:pPr>
            <w:r>
              <w:rPr>
                <w:rFonts w:ascii="Arial" w:hAnsi="Arial" w:cs="Arial"/>
                <w:sz w:val="24"/>
                <w:szCs w:val="24"/>
              </w:rPr>
              <w:t>6</w:t>
            </w:r>
          </w:p>
        </w:tc>
        <w:tc>
          <w:tcPr>
            <w:tcW w:w="1017" w:type="dxa"/>
          </w:tcPr>
          <w:p w:rsidR="00C26FC7" w:rsidRDefault="00C26FC7" w:rsidP="00C26FC7">
            <w:pPr>
              <w:jc w:val="center"/>
              <w:rPr>
                <w:rFonts w:ascii="Arial" w:hAnsi="Arial" w:cs="Arial"/>
                <w:sz w:val="24"/>
                <w:szCs w:val="24"/>
              </w:rPr>
            </w:pPr>
            <w:r>
              <w:rPr>
                <w:rFonts w:ascii="Arial" w:hAnsi="Arial" w:cs="Arial"/>
                <w:sz w:val="24"/>
                <w:szCs w:val="24"/>
              </w:rPr>
              <w:t>0</w:t>
            </w:r>
          </w:p>
        </w:tc>
        <w:tc>
          <w:tcPr>
            <w:tcW w:w="1331" w:type="dxa"/>
          </w:tcPr>
          <w:p w:rsidR="00C26FC7" w:rsidRDefault="00C26FC7" w:rsidP="00C26FC7">
            <w:pPr>
              <w:jc w:val="center"/>
              <w:rPr>
                <w:rFonts w:ascii="Arial" w:hAnsi="Arial" w:cs="Arial"/>
                <w:sz w:val="24"/>
                <w:szCs w:val="24"/>
              </w:rPr>
            </w:pPr>
            <w:r>
              <w:rPr>
                <w:rFonts w:ascii="Arial" w:hAnsi="Arial" w:cs="Arial"/>
                <w:sz w:val="24"/>
                <w:szCs w:val="24"/>
              </w:rPr>
              <w:t>6</w:t>
            </w:r>
          </w:p>
        </w:tc>
        <w:tc>
          <w:tcPr>
            <w:tcW w:w="1849" w:type="dxa"/>
          </w:tcPr>
          <w:p w:rsidR="00C26FC7" w:rsidRDefault="00C26FC7" w:rsidP="00C26FC7">
            <w:pPr>
              <w:jc w:val="center"/>
              <w:rPr>
                <w:rFonts w:ascii="Arial" w:hAnsi="Arial" w:cs="Arial"/>
                <w:sz w:val="24"/>
                <w:szCs w:val="24"/>
              </w:rPr>
            </w:pPr>
            <w:r>
              <w:rPr>
                <w:rFonts w:ascii="Arial" w:hAnsi="Arial" w:cs="Arial"/>
                <w:sz w:val="24"/>
                <w:szCs w:val="24"/>
              </w:rPr>
              <w:t>0.02%</w:t>
            </w:r>
          </w:p>
        </w:tc>
      </w:tr>
      <w:tr w:rsidR="00C26FC7" w:rsidTr="00C26FC7">
        <w:tc>
          <w:tcPr>
            <w:tcW w:w="3936" w:type="dxa"/>
            <w:shd w:val="clear" w:color="auto" w:fill="FFFFFF" w:themeFill="background1"/>
          </w:tcPr>
          <w:p w:rsidR="00C26FC7" w:rsidRDefault="00C26FC7" w:rsidP="00C26FC7">
            <w:pPr>
              <w:rPr>
                <w:rFonts w:ascii="Arial" w:hAnsi="Arial" w:cs="Arial"/>
                <w:sz w:val="24"/>
                <w:szCs w:val="24"/>
              </w:rPr>
            </w:pPr>
            <w:r>
              <w:rPr>
                <w:rFonts w:ascii="Arial" w:hAnsi="Arial" w:cs="Arial"/>
                <w:sz w:val="24"/>
                <w:szCs w:val="24"/>
              </w:rPr>
              <w:t>Mixed – White &amp; Asian</w:t>
            </w:r>
          </w:p>
          <w:p w:rsidR="00C26FC7" w:rsidRDefault="00C26FC7" w:rsidP="00C26FC7">
            <w:pPr>
              <w:rPr>
                <w:rFonts w:ascii="Arial" w:hAnsi="Arial" w:cs="Arial"/>
                <w:sz w:val="24"/>
                <w:szCs w:val="24"/>
              </w:rPr>
            </w:pPr>
          </w:p>
        </w:tc>
        <w:tc>
          <w:tcPr>
            <w:tcW w:w="1109" w:type="dxa"/>
          </w:tcPr>
          <w:p w:rsidR="00C26FC7" w:rsidRDefault="00C26FC7" w:rsidP="00C26FC7">
            <w:pPr>
              <w:jc w:val="center"/>
              <w:rPr>
                <w:rFonts w:ascii="Arial" w:hAnsi="Arial" w:cs="Arial"/>
                <w:sz w:val="24"/>
                <w:szCs w:val="24"/>
              </w:rPr>
            </w:pPr>
            <w:r>
              <w:rPr>
                <w:rFonts w:ascii="Arial" w:hAnsi="Arial" w:cs="Arial"/>
                <w:sz w:val="24"/>
                <w:szCs w:val="24"/>
              </w:rPr>
              <w:t>7</w:t>
            </w:r>
          </w:p>
        </w:tc>
        <w:tc>
          <w:tcPr>
            <w:tcW w:w="1017" w:type="dxa"/>
          </w:tcPr>
          <w:p w:rsidR="00C26FC7" w:rsidRDefault="00C26FC7" w:rsidP="00C26FC7">
            <w:pPr>
              <w:jc w:val="center"/>
              <w:rPr>
                <w:rFonts w:ascii="Arial" w:hAnsi="Arial" w:cs="Arial"/>
                <w:sz w:val="24"/>
                <w:szCs w:val="24"/>
              </w:rPr>
            </w:pPr>
            <w:r>
              <w:rPr>
                <w:rFonts w:ascii="Arial" w:hAnsi="Arial" w:cs="Arial"/>
                <w:sz w:val="24"/>
                <w:szCs w:val="24"/>
              </w:rPr>
              <w:t>25</w:t>
            </w:r>
          </w:p>
        </w:tc>
        <w:tc>
          <w:tcPr>
            <w:tcW w:w="1331" w:type="dxa"/>
          </w:tcPr>
          <w:p w:rsidR="00C26FC7" w:rsidRDefault="00C26FC7" w:rsidP="00C26FC7">
            <w:pPr>
              <w:jc w:val="center"/>
              <w:rPr>
                <w:rFonts w:ascii="Arial" w:hAnsi="Arial" w:cs="Arial"/>
                <w:sz w:val="24"/>
                <w:szCs w:val="24"/>
              </w:rPr>
            </w:pPr>
            <w:r>
              <w:rPr>
                <w:rFonts w:ascii="Arial" w:hAnsi="Arial" w:cs="Arial"/>
                <w:sz w:val="24"/>
                <w:szCs w:val="24"/>
              </w:rPr>
              <w:t>32</w:t>
            </w:r>
          </w:p>
        </w:tc>
        <w:tc>
          <w:tcPr>
            <w:tcW w:w="1849" w:type="dxa"/>
          </w:tcPr>
          <w:p w:rsidR="00C26FC7" w:rsidRDefault="00C26FC7" w:rsidP="00C26FC7">
            <w:pPr>
              <w:jc w:val="center"/>
              <w:rPr>
                <w:rFonts w:ascii="Arial" w:hAnsi="Arial" w:cs="Arial"/>
                <w:sz w:val="24"/>
                <w:szCs w:val="24"/>
              </w:rPr>
            </w:pPr>
            <w:r>
              <w:rPr>
                <w:rFonts w:ascii="Arial" w:hAnsi="Arial" w:cs="Arial"/>
                <w:sz w:val="24"/>
                <w:szCs w:val="24"/>
              </w:rPr>
              <w:t>0.13%</w:t>
            </w:r>
          </w:p>
        </w:tc>
      </w:tr>
      <w:tr w:rsidR="00C26FC7" w:rsidTr="00C26FC7">
        <w:tc>
          <w:tcPr>
            <w:tcW w:w="3936" w:type="dxa"/>
            <w:shd w:val="clear" w:color="auto" w:fill="FFFFFF" w:themeFill="background1"/>
          </w:tcPr>
          <w:p w:rsidR="00C26FC7" w:rsidRDefault="00C26FC7" w:rsidP="00C26FC7">
            <w:pPr>
              <w:rPr>
                <w:rFonts w:ascii="Arial" w:hAnsi="Arial" w:cs="Arial"/>
                <w:sz w:val="24"/>
                <w:szCs w:val="24"/>
              </w:rPr>
            </w:pPr>
            <w:r>
              <w:rPr>
                <w:rFonts w:ascii="Arial" w:hAnsi="Arial" w:cs="Arial"/>
                <w:sz w:val="24"/>
                <w:szCs w:val="24"/>
              </w:rPr>
              <w:t>Other Mixed Background</w:t>
            </w:r>
          </w:p>
          <w:p w:rsidR="00C26FC7" w:rsidRDefault="00C26FC7" w:rsidP="00C26FC7">
            <w:pPr>
              <w:rPr>
                <w:rFonts w:ascii="Arial" w:hAnsi="Arial" w:cs="Arial"/>
                <w:sz w:val="24"/>
                <w:szCs w:val="24"/>
              </w:rPr>
            </w:pPr>
          </w:p>
        </w:tc>
        <w:tc>
          <w:tcPr>
            <w:tcW w:w="1109" w:type="dxa"/>
          </w:tcPr>
          <w:p w:rsidR="00C26FC7" w:rsidRDefault="00C26FC7" w:rsidP="00C26FC7">
            <w:pPr>
              <w:jc w:val="center"/>
              <w:rPr>
                <w:rFonts w:ascii="Arial" w:hAnsi="Arial" w:cs="Arial"/>
                <w:sz w:val="24"/>
                <w:szCs w:val="24"/>
              </w:rPr>
            </w:pPr>
            <w:r>
              <w:rPr>
                <w:rFonts w:ascii="Arial" w:hAnsi="Arial" w:cs="Arial"/>
                <w:sz w:val="24"/>
                <w:szCs w:val="24"/>
              </w:rPr>
              <w:t>31</w:t>
            </w:r>
          </w:p>
        </w:tc>
        <w:tc>
          <w:tcPr>
            <w:tcW w:w="1017" w:type="dxa"/>
          </w:tcPr>
          <w:p w:rsidR="00C26FC7" w:rsidRDefault="00C26FC7" w:rsidP="00C26FC7">
            <w:pPr>
              <w:jc w:val="center"/>
              <w:rPr>
                <w:rFonts w:ascii="Arial" w:hAnsi="Arial" w:cs="Arial"/>
                <w:sz w:val="24"/>
                <w:szCs w:val="24"/>
              </w:rPr>
            </w:pPr>
            <w:r>
              <w:rPr>
                <w:rFonts w:ascii="Arial" w:hAnsi="Arial" w:cs="Arial"/>
                <w:sz w:val="24"/>
                <w:szCs w:val="24"/>
              </w:rPr>
              <w:t>17</w:t>
            </w:r>
          </w:p>
        </w:tc>
        <w:tc>
          <w:tcPr>
            <w:tcW w:w="1331" w:type="dxa"/>
          </w:tcPr>
          <w:p w:rsidR="00C26FC7" w:rsidRDefault="00C26FC7" w:rsidP="00C26FC7">
            <w:pPr>
              <w:jc w:val="center"/>
              <w:rPr>
                <w:rFonts w:ascii="Arial" w:hAnsi="Arial" w:cs="Arial"/>
                <w:sz w:val="24"/>
                <w:szCs w:val="24"/>
              </w:rPr>
            </w:pPr>
            <w:r>
              <w:rPr>
                <w:rFonts w:ascii="Arial" w:hAnsi="Arial" w:cs="Arial"/>
                <w:sz w:val="24"/>
                <w:szCs w:val="24"/>
              </w:rPr>
              <w:t>48</w:t>
            </w:r>
          </w:p>
        </w:tc>
        <w:tc>
          <w:tcPr>
            <w:tcW w:w="1849" w:type="dxa"/>
          </w:tcPr>
          <w:p w:rsidR="00C26FC7" w:rsidRDefault="00C26FC7" w:rsidP="00C26FC7">
            <w:pPr>
              <w:jc w:val="center"/>
              <w:rPr>
                <w:rFonts w:ascii="Arial" w:hAnsi="Arial" w:cs="Arial"/>
                <w:sz w:val="24"/>
                <w:szCs w:val="24"/>
              </w:rPr>
            </w:pPr>
            <w:r>
              <w:rPr>
                <w:rFonts w:ascii="Arial" w:hAnsi="Arial" w:cs="Arial"/>
                <w:sz w:val="24"/>
                <w:szCs w:val="24"/>
              </w:rPr>
              <w:t>0.19%</w:t>
            </w:r>
          </w:p>
        </w:tc>
      </w:tr>
      <w:tr w:rsidR="00C26FC7" w:rsidTr="00C26FC7">
        <w:tc>
          <w:tcPr>
            <w:tcW w:w="3936" w:type="dxa"/>
            <w:shd w:val="clear" w:color="auto" w:fill="FFFFFF" w:themeFill="background1"/>
          </w:tcPr>
          <w:p w:rsidR="00C26FC7" w:rsidRDefault="00C26FC7" w:rsidP="00C26FC7">
            <w:pPr>
              <w:rPr>
                <w:rFonts w:ascii="Arial" w:hAnsi="Arial" w:cs="Arial"/>
                <w:sz w:val="24"/>
                <w:szCs w:val="24"/>
              </w:rPr>
            </w:pPr>
            <w:r>
              <w:rPr>
                <w:rFonts w:ascii="Arial" w:hAnsi="Arial" w:cs="Arial"/>
                <w:sz w:val="24"/>
                <w:szCs w:val="24"/>
              </w:rPr>
              <w:t>Other Ethnic Background</w:t>
            </w:r>
          </w:p>
          <w:p w:rsidR="00C26FC7" w:rsidRDefault="00C26FC7" w:rsidP="00C26FC7">
            <w:pPr>
              <w:rPr>
                <w:rFonts w:ascii="Arial" w:hAnsi="Arial" w:cs="Arial"/>
                <w:sz w:val="24"/>
                <w:szCs w:val="24"/>
              </w:rPr>
            </w:pPr>
          </w:p>
        </w:tc>
        <w:tc>
          <w:tcPr>
            <w:tcW w:w="1109" w:type="dxa"/>
          </w:tcPr>
          <w:p w:rsidR="00C26FC7" w:rsidRDefault="00C26FC7" w:rsidP="00C26FC7">
            <w:pPr>
              <w:jc w:val="center"/>
              <w:rPr>
                <w:rFonts w:ascii="Arial" w:hAnsi="Arial" w:cs="Arial"/>
                <w:sz w:val="24"/>
                <w:szCs w:val="24"/>
              </w:rPr>
            </w:pPr>
            <w:r>
              <w:rPr>
                <w:rFonts w:ascii="Arial" w:hAnsi="Arial" w:cs="Arial"/>
                <w:sz w:val="24"/>
                <w:szCs w:val="24"/>
              </w:rPr>
              <w:t>47</w:t>
            </w:r>
          </w:p>
        </w:tc>
        <w:tc>
          <w:tcPr>
            <w:tcW w:w="1017" w:type="dxa"/>
          </w:tcPr>
          <w:p w:rsidR="00C26FC7" w:rsidRDefault="00C26FC7" w:rsidP="00C26FC7">
            <w:pPr>
              <w:jc w:val="center"/>
              <w:rPr>
                <w:rFonts w:ascii="Arial" w:hAnsi="Arial" w:cs="Arial"/>
                <w:sz w:val="24"/>
                <w:szCs w:val="24"/>
              </w:rPr>
            </w:pPr>
            <w:r>
              <w:rPr>
                <w:rFonts w:ascii="Arial" w:hAnsi="Arial" w:cs="Arial"/>
                <w:sz w:val="24"/>
                <w:szCs w:val="24"/>
              </w:rPr>
              <w:t>41</w:t>
            </w:r>
          </w:p>
        </w:tc>
        <w:tc>
          <w:tcPr>
            <w:tcW w:w="1331" w:type="dxa"/>
          </w:tcPr>
          <w:p w:rsidR="00C26FC7" w:rsidRDefault="00C26FC7" w:rsidP="00C26FC7">
            <w:pPr>
              <w:jc w:val="center"/>
              <w:rPr>
                <w:rFonts w:ascii="Arial" w:hAnsi="Arial" w:cs="Arial"/>
                <w:sz w:val="24"/>
                <w:szCs w:val="24"/>
              </w:rPr>
            </w:pPr>
            <w:r>
              <w:rPr>
                <w:rFonts w:ascii="Arial" w:hAnsi="Arial" w:cs="Arial"/>
                <w:sz w:val="24"/>
                <w:szCs w:val="24"/>
              </w:rPr>
              <w:t>88</w:t>
            </w:r>
          </w:p>
        </w:tc>
        <w:tc>
          <w:tcPr>
            <w:tcW w:w="1849" w:type="dxa"/>
          </w:tcPr>
          <w:p w:rsidR="00C26FC7" w:rsidRDefault="00C26FC7" w:rsidP="00C26FC7">
            <w:pPr>
              <w:jc w:val="center"/>
              <w:rPr>
                <w:rFonts w:ascii="Arial" w:hAnsi="Arial" w:cs="Arial"/>
                <w:sz w:val="24"/>
                <w:szCs w:val="24"/>
              </w:rPr>
            </w:pPr>
            <w:r>
              <w:rPr>
                <w:rFonts w:ascii="Arial" w:hAnsi="Arial" w:cs="Arial"/>
                <w:sz w:val="24"/>
                <w:szCs w:val="24"/>
              </w:rPr>
              <w:t>0.35%</w:t>
            </w:r>
          </w:p>
        </w:tc>
      </w:tr>
      <w:tr w:rsidR="00C26FC7" w:rsidTr="00C26FC7">
        <w:tc>
          <w:tcPr>
            <w:tcW w:w="3936" w:type="dxa"/>
            <w:shd w:val="clear" w:color="auto" w:fill="FFFFFF" w:themeFill="background1"/>
          </w:tcPr>
          <w:p w:rsidR="00C26FC7" w:rsidRDefault="00C26FC7" w:rsidP="00C26FC7">
            <w:pPr>
              <w:rPr>
                <w:rFonts w:ascii="Arial" w:hAnsi="Arial" w:cs="Arial"/>
                <w:sz w:val="24"/>
                <w:szCs w:val="24"/>
              </w:rPr>
            </w:pPr>
            <w:r>
              <w:rPr>
                <w:rFonts w:ascii="Arial" w:hAnsi="Arial" w:cs="Arial"/>
                <w:sz w:val="24"/>
                <w:szCs w:val="24"/>
              </w:rPr>
              <w:t>Information Refused</w:t>
            </w:r>
          </w:p>
          <w:p w:rsidR="00C26FC7" w:rsidRDefault="00C26FC7" w:rsidP="00C26FC7">
            <w:pPr>
              <w:rPr>
                <w:rFonts w:ascii="Arial" w:hAnsi="Arial" w:cs="Arial"/>
                <w:sz w:val="24"/>
                <w:szCs w:val="24"/>
              </w:rPr>
            </w:pPr>
          </w:p>
        </w:tc>
        <w:tc>
          <w:tcPr>
            <w:tcW w:w="1109" w:type="dxa"/>
          </w:tcPr>
          <w:p w:rsidR="00C26FC7" w:rsidRDefault="00C26FC7" w:rsidP="00C26FC7">
            <w:pPr>
              <w:jc w:val="center"/>
              <w:rPr>
                <w:rFonts w:ascii="Arial" w:hAnsi="Arial" w:cs="Arial"/>
                <w:sz w:val="24"/>
                <w:szCs w:val="24"/>
              </w:rPr>
            </w:pPr>
            <w:r>
              <w:rPr>
                <w:rFonts w:ascii="Arial" w:hAnsi="Arial" w:cs="Arial"/>
                <w:sz w:val="24"/>
                <w:szCs w:val="24"/>
              </w:rPr>
              <w:t>19</w:t>
            </w:r>
          </w:p>
        </w:tc>
        <w:tc>
          <w:tcPr>
            <w:tcW w:w="1017" w:type="dxa"/>
          </w:tcPr>
          <w:p w:rsidR="00C26FC7" w:rsidRDefault="00C26FC7" w:rsidP="00C26FC7">
            <w:pPr>
              <w:jc w:val="center"/>
              <w:rPr>
                <w:rFonts w:ascii="Arial" w:hAnsi="Arial" w:cs="Arial"/>
                <w:sz w:val="24"/>
                <w:szCs w:val="24"/>
              </w:rPr>
            </w:pPr>
            <w:r>
              <w:rPr>
                <w:rFonts w:ascii="Arial" w:hAnsi="Arial" w:cs="Arial"/>
                <w:sz w:val="24"/>
                <w:szCs w:val="24"/>
              </w:rPr>
              <w:t>52</w:t>
            </w:r>
          </w:p>
        </w:tc>
        <w:tc>
          <w:tcPr>
            <w:tcW w:w="1331" w:type="dxa"/>
          </w:tcPr>
          <w:p w:rsidR="00C26FC7" w:rsidRDefault="00C26FC7" w:rsidP="00C26FC7">
            <w:pPr>
              <w:jc w:val="center"/>
              <w:rPr>
                <w:rFonts w:ascii="Arial" w:hAnsi="Arial" w:cs="Arial"/>
                <w:sz w:val="24"/>
                <w:szCs w:val="24"/>
              </w:rPr>
            </w:pPr>
            <w:r>
              <w:rPr>
                <w:rFonts w:ascii="Arial" w:hAnsi="Arial" w:cs="Arial"/>
                <w:sz w:val="24"/>
                <w:szCs w:val="24"/>
              </w:rPr>
              <w:t>71</w:t>
            </w:r>
          </w:p>
        </w:tc>
        <w:tc>
          <w:tcPr>
            <w:tcW w:w="1849" w:type="dxa"/>
          </w:tcPr>
          <w:p w:rsidR="00C26FC7" w:rsidRDefault="00C26FC7" w:rsidP="00C26FC7">
            <w:pPr>
              <w:jc w:val="center"/>
              <w:rPr>
                <w:rFonts w:ascii="Arial" w:hAnsi="Arial" w:cs="Arial"/>
                <w:sz w:val="24"/>
                <w:szCs w:val="24"/>
              </w:rPr>
            </w:pPr>
            <w:r>
              <w:rPr>
                <w:rFonts w:ascii="Arial" w:hAnsi="Arial" w:cs="Arial"/>
                <w:sz w:val="24"/>
                <w:szCs w:val="24"/>
              </w:rPr>
              <w:t>0.28%</w:t>
            </w:r>
          </w:p>
        </w:tc>
      </w:tr>
      <w:tr w:rsidR="00C26FC7" w:rsidTr="00C26FC7">
        <w:tc>
          <w:tcPr>
            <w:tcW w:w="3936" w:type="dxa"/>
            <w:shd w:val="clear" w:color="auto" w:fill="FFFFFF" w:themeFill="background1"/>
          </w:tcPr>
          <w:p w:rsidR="00C26FC7" w:rsidRDefault="00C26FC7" w:rsidP="00C26FC7">
            <w:pPr>
              <w:rPr>
                <w:rFonts w:ascii="Arial" w:hAnsi="Arial" w:cs="Arial"/>
                <w:sz w:val="24"/>
                <w:szCs w:val="24"/>
              </w:rPr>
            </w:pPr>
            <w:r>
              <w:rPr>
                <w:rFonts w:ascii="Arial" w:hAnsi="Arial" w:cs="Arial"/>
                <w:sz w:val="24"/>
                <w:szCs w:val="24"/>
              </w:rPr>
              <w:t>Not Known</w:t>
            </w:r>
          </w:p>
          <w:p w:rsidR="00C26FC7" w:rsidRDefault="00C26FC7" w:rsidP="00C26FC7">
            <w:pPr>
              <w:rPr>
                <w:rFonts w:ascii="Arial" w:hAnsi="Arial" w:cs="Arial"/>
                <w:sz w:val="24"/>
                <w:szCs w:val="24"/>
              </w:rPr>
            </w:pPr>
          </w:p>
        </w:tc>
        <w:tc>
          <w:tcPr>
            <w:tcW w:w="1109" w:type="dxa"/>
          </w:tcPr>
          <w:p w:rsidR="00C26FC7" w:rsidRDefault="00C26FC7" w:rsidP="00C26FC7">
            <w:pPr>
              <w:jc w:val="center"/>
              <w:rPr>
                <w:rFonts w:ascii="Arial" w:hAnsi="Arial" w:cs="Arial"/>
                <w:sz w:val="24"/>
                <w:szCs w:val="24"/>
              </w:rPr>
            </w:pPr>
            <w:r>
              <w:rPr>
                <w:rFonts w:ascii="Arial" w:hAnsi="Arial" w:cs="Arial"/>
                <w:sz w:val="24"/>
                <w:szCs w:val="24"/>
              </w:rPr>
              <w:t>876</w:t>
            </w:r>
          </w:p>
        </w:tc>
        <w:tc>
          <w:tcPr>
            <w:tcW w:w="1017" w:type="dxa"/>
          </w:tcPr>
          <w:p w:rsidR="00C26FC7" w:rsidRDefault="00C26FC7" w:rsidP="00C26FC7">
            <w:pPr>
              <w:jc w:val="center"/>
              <w:rPr>
                <w:rFonts w:ascii="Arial" w:hAnsi="Arial" w:cs="Arial"/>
                <w:sz w:val="24"/>
                <w:szCs w:val="24"/>
              </w:rPr>
            </w:pPr>
            <w:r>
              <w:rPr>
                <w:rFonts w:ascii="Arial" w:hAnsi="Arial" w:cs="Arial"/>
                <w:sz w:val="24"/>
                <w:szCs w:val="24"/>
              </w:rPr>
              <w:t>1</w:t>
            </w:r>
            <w:r w:rsidR="004749C7">
              <w:rPr>
                <w:rFonts w:ascii="Arial" w:hAnsi="Arial" w:cs="Arial"/>
                <w:sz w:val="24"/>
                <w:szCs w:val="24"/>
              </w:rPr>
              <w:t>,</w:t>
            </w:r>
            <w:r>
              <w:rPr>
                <w:rFonts w:ascii="Arial" w:hAnsi="Arial" w:cs="Arial"/>
                <w:sz w:val="24"/>
                <w:szCs w:val="24"/>
              </w:rPr>
              <w:t>126</w:t>
            </w:r>
          </w:p>
        </w:tc>
        <w:tc>
          <w:tcPr>
            <w:tcW w:w="1331" w:type="dxa"/>
          </w:tcPr>
          <w:p w:rsidR="00C26FC7" w:rsidRDefault="00C26FC7" w:rsidP="00C26FC7">
            <w:pPr>
              <w:jc w:val="center"/>
              <w:rPr>
                <w:rFonts w:ascii="Arial" w:hAnsi="Arial" w:cs="Arial"/>
                <w:sz w:val="24"/>
                <w:szCs w:val="24"/>
              </w:rPr>
            </w:pPr>
            <w:r>
              <w:rPr>
                <w:rFonts w:ascii="Arial" w:hAnsi="Arial" w:cs="Arial"/>
                <w:sz w:val="24"/>
                <w:szCs w:val="24"/>
              </w:rPr>
              <w:t>2</w:t>
            </w:r>
            <w:r w:rsidR="004749C7">
              <w:rPr>
                <w:rFonts w:ascii="Arial" w:hAnsi="Arial" w:cs="Arial"/>
                <w:sz w:val="24"/>
                <w:szCs w:val="24"/>
              </w:rPr>
              <w:t>,</w:t>
            </w:r>
            <w:r>
              <w:rPr>
                <w:rFonts w:ascii="Arial" w:hAnsi="Arial" w:cs="Arial"/>
                <w:sz w:val="24"/>
                <w:szCs w:val="24"/>
              </w:rPr>
              <w:t>002</w:t>
            </w:r>
          </w:p>
        </w:tc>
        <w:tc>
          <w:tcPr>
            <w:tcW w:w="1849" w:type="dxa"/>
          </w:tcPr>
          <w:p w:rsidR="00C26FC7" w:rsidRDefault="00C26FC7" w:rsidP="00C26FC7">
            <w:pPr>
              <w:jc w:val="center"/>
              <w:rPr>
                <w:rFonts w:ascii="Arial" w:hAnsi="Arial" w:cs="Arial"/>
                <w:sz w:val="24"/>
                <w:szCs w:val="24"/>
              </w:rPr>
            </w:pPr>
            <w:r>
              <w:rPr>
                <w:rFonts w:ascii="Arial" w:hAnsi="Arial" w:cs="Arial"/>
                <w:sz w:val="24"/>
                <w:szCs w:val="24"/>
              </w:rPr>
              <w:t>7.99%</w:t>
            </w:r>
          </w:p>
        </w:tc>
      </w:tr>
      <w:tr w:rsidR="00C26FC7" w:rsidTr="00C26FC7">
        <w:tc>
          <w:tcPr>
            <w:tcW w:w="3936" w:type="dxa"/>
            <w:shd w:val="clear" w:color="auto" w:fill="E5B8B7" w:themeFill="accent2" w:themeFillTint="66"/>
          </w:tcPr>
          <w:p w:rsidR="00C26FC7" w:rsidRDefault="00C26FC7" w:rsidP="00C26FC7">
            <w:pPr>
              <w:rPr>
                <w:rFonts w:ascii="Arial" w:hAnsi="Arial" w:cs="Arial"/>
                <w:sz w:val="24"/>
                <w:szCs w:val="24"/>
              </w:rPr>
            </w:pPr>
            <w:r>
              <w:rPr>
                <w:rFonts w:ascii="Arial" w:hAnsi="Arial" w:cs="Arial"/>
                <w:sz w:val="24"/>
                <w:szCs w:val="24"/>
              </w:rPr>
              <w:t>Total</w:t>
            </w:r>
          </w:p>
          <w:p w:rsidR="00C26FC7" w:rsidRDefault="00C26FC7" w:rsidP="00C26FC7">
            <w:pPr>
              <w:rPr>
                <w:rFonts w:ascii="Arial" w:hAnsi="Arial" w:cs="Arial"/>
                <w:sz w:val="24"/>
                <w:szCs w:val="24"/>
              </w:rPr>
            </w:pPr>
          </w:p>
        </w:tc>
        <w:tc>
          <w:tcPr>
            <w:tcW w:w="1109" w:type="dxa"/>
            <w:shd w:val="clear" w:color="auto" w:fill="E5B8B7" w:themeFill="accent2" w:themeFillTint="66"/>
          </w:tcPr>
          <w:p w:rsidR="00C26FC7" w:rsidRDefault="00C26FC7" w:rsidP="00C26FC7">
            <w:pPr>
              <w:jc w:val="center"/>
              <w:rPr>
                <w:rFonts w:ascii="Arial" w:hAnsi="Arial" w:cs="Arial"/>
                <w:sz w:val="24"/>
                <w:szCs w:val="24"/>
              </w:rPr>
            </w:pPr>
            <w:r>
              <w:rPr>
                <w:rFonts w:ascii="Arial" w:hAnsi="Arial" w:cs="Arial"/>
                <w:sz w:val="24"/>
                <w:szCs w:val="24"/>
              </w:rPr>
              <w:t>12</w:t>
            </w:r>
            <w:r w:rsidR="004749C7">
              <w:rPr>
                <w:rFonts w:ascii="Arial" w:hAnsi="Arial" w:cs="Arial"/>
                <w:sz w:val="24"/>
                <w:szCs w:val="24"/>
              </w:rPr>
              <w:t>,</w:t>
            </w:r>
            <w:r>
              <w:rPr>
                <w:rFonts w:ascii="Arial" w:hAnsi="Arial" w:cs="Arial"/>
                <w:sz w:val="24"/>
                <w:szCs w:val="24"/>
              </w:rPr>
              <w:t>454</w:t>
            </w:r>
          </w:p>
        </w:tc>
        <w:tc>
          <w:tcPr>
            <w:tcW w:w="1017" w:type="dxa"/>
            <w:shd w:val="clear" w:color="auto" w:fill="E5B8B7" w:themeFill="accent2" w:themeFillTint="66"/>
          </w:tcPr>
          <w:p w:rsidR="00C26FC7" w:rsidRDefault="00C26FC7" w:rsidP="00C26FC7">
            <w:pPr>
              <w:jc w:val="center"/>
              <w:rPr>
                <w:rFonts w:ascii="Arial" w:hAnsi="Arial" w:cs="Arial"/>
                <w:sz w:val="24"/>
                <w:szCs w:val="24"/>
              </w:rPr>
            </w:pPr>
            <w:r>
              <w:rPr>
                <w:rFonts w:ascii="Arial" w:hAnsi="Arial" w:cs="Arial"/>
                <w:sz w:val="24"/>
                <w:szCs w:val="24"/>
              </w:rPr>
              <w:t>12</w:t>
            </w:r>
            <w:r w:rsidR="004749C7">
              <w:rPr>
                <w:rFonts w:ascii="Arial" w:hAnsi="Arial" w:cs="Arial"/>
                <w:sz w:val="24"/>
                <w:szCs w:val="24"/>
              </w:rPr>
              <w:t>,</w:t>
            </w:r>
            <w:r>
              <w:rPr>
                <w:rFonts w:ascii="Arial" w:hAnsi="Arial" w:cs="Arial"/>
                <w:sz w:val="24"/>
                <w:szCs w:val="24"/>
              </w:rPr>
              <w:t>593</w:t>
            </w:r>
          </w:p>
        </w:tc>
        <w:tc>
          <w:tcPr>
            <w:tcW w:w="1331" w:type="dxa"/>
            <w:shd w:val="clear" w:color="auto" w:fill="E5B8B7" w:themeFill="accent2" w:themeFillTint="66"/>
          </w:tcPr>
          <w:p w:rsidR="00C26FC7" w:rsidRDefault="00C26FC7" w:rsidP="00C26FC7">
            <w:pPr>
              <w:jc w:val="center"/>
              <w:rPr>
                <w:rFonts w:ascii="Arial" w:hAnsi="Arial" w:cs="Arial"/>
                <w:sz w:val="24"/>
                <w:szCs w:val="24"/>
              </w:rPr>
            </w:pPr>
            <w:r>
              <w:rPr>
                <w:rFonts w:ascii="Arial" w:hAnsi="Arial" w:cs="Arial"/>
                <w:sz w:val="24"/>
                <w:szCs w:val="24"/>
              </w:rPr>
              <w:t>25</w:t>
            </w:r>
            <w:r w:rsidR="004749C7">
              <w:rPr>
                <w:rFonts w:ascii="Arial" w:hAnsi="Arial" w:cs="Arial"/>
                <w:sz w:val="24"/>
                <w:szCs w:val="24"/>
              </w:rPr>
              <w:t>,</w:t>
            </w:r>
            <w:r>
              <w:rPr>
                <w:rFonts w:ascii="Arial" w:hAnsi="Arial" w:cs="Arial"/>
                <w:sz w:val="24"/>
                <w:szCs w:val="24"/>
              </w:rPr>
              <w:t>047</w:t>
            </w:r>
          </w:p>
        </w:tc>
        <w:tc>
          <w:tcPr>
            <w:tcW w:w="1849" w:type="dxa"/>
            <w:shd w:val="clear" w:color="auto" w:fill="E5B8B7" w:themeFill="accent2" w:themeFillTint="66"/>
          </w:tcPr>
          <w:p w:rsidR="00C26FC7" w:rsidRDefault="00C26FC7" w:rsidP="00C26FC7">
            <w:pPr>
              <w:jc w:val="center"/>
              <w:rPr>
                <w:rFonts w:ascii="Arial" w:hAnsi="Arial" w:cs="Arial"/>
                <w:sz w:val="24"/>
                <w:szCs w:val="24"/>
              </w:rPr>
            </w:pPr>
            <w:r>
              <w:rPr>
                <w:rFonts w:ascii="Arial" w:hAnsi="Arial" w:cs="Arial"/>
                <w:sz w:val="24"/>
                <w:szCs w:val="24"/>
              </w:rPr>
              <w:t>100.00%</w:t>
            </w:r>
          </w:p>
        </w:tc>
      </w:tr>
    </w:tbl>
    <w:p w:rsidR="00C26FC7" w:rsidRDefault="00C26FC7" w:rsidP="00C26FC7">
      <w:pPr>
        <w:rPr>
          <w:rFonts w:ascii="Arial" w:hAnsi="Arial" w:cs="Arial"/>
          <w:b/>
          <w:sz w:val="24"/>
          <w:szCs w:val="24"/>
        </w:rPr>
      </w:pPr>
    </w:p>
    <w:p w:rsidR="00C26FC7" w:rsidRDefault="00C26FC7" w:rsidP="00C26FC7">
      <w:pPr>
        <w:rPr>
          <w:rFonts w:ascii="Arial" w:hAnsi="Arial" w:cs="Arial"/>
          <w:b/>
          <w:sz w:val="24"/>
          <w:szCs w:val="24"/>
        </w:rPr>
      </w:pPr>
    </w:p>
    <w:p w:rsidR="00C26FC7" w:rsidRDefault="00C26FC7" w:rsidP="00C26FC7">
      <w:pPr>
        <w:rPr>
          <w:rFonts w:ascii="Arial" w:hAnsi="Arial" w:cs="Arial"/>
          <w:b/>
          <w:sz w:val="24"/>
          <w:szCs w:val="24"/>
        </w:rPr>
      </w:pPr>
    </w:p>
    <w:p w:rsidR="00C26FC7" w:rsidRDefault="00C26FC7" w:rsidP="00C26FC7">
      <w:pPr>
        <w:rPr>
          <w:rFonts w:ascii="Arial" w:hAnsi="Arial" w:cs="Arial"/>
          <w:b/>
          <w:sz w:val="24"/>
          <w:szCs w:val="24"/>
        </w:rPr>
      </w:pPr>
    </w:p>
    <w:p w:rsidR="00C26FC7" w:rsidRDefault="00963A75" w:rsidP="00C26FC7">
      <w:pPr>
        <w:rPr>
          <w:rFonts w:ascii="Arial" w:hAnsi="Arial" w:cs="Arial"/>
          <w:b/>
          <w:sz w:val="24"/>
          <w:szCs w:val="24"/>
        </w:rPr>
      </w:pPr>
      <w:r>
        <w:rPr>
          <w:rFonts w:ascii="Arial" w:hAnsi="Arial" w:cs="Arial"/>
          <w:b/>
          <w:sz w:val="24"/>
          <w:szCs w:val="24"/>
        </w:rPr>
        <w:t>Enrolment T</w:t>
      </w:r>
      <w:r w:rsidR="00C26FC7">
        <w:rPr>
          <w:rFonts w:ascii="Arial" w:hAnsi="Arial" w:cs="Arial"/>
          <w:b/>
          <w:sz w:val="24"/>
          <w:szCs w:val="24"/>
        </w:rPr>
        <w:t>rends</w:t>
      </w:r>
    </w:p>
    <w:p w:rsidR="00C26FC7" w:rsidRPr="00C26FC7" w:rsidRDefault="00C26FC7" w:rsidP="00C26FC7">
      <w:pPr>
        <w:rPr>
          <w:rFonts w:ascii="Arial" w:hAnsi="Arial" w:cs="Arial"/>
          <w:sz w:val="24"/>
          <w:szCs w:val="24"/>
        </w:rPr>
      </w:pPr>
      <w:r w:rsidRPr="00C26FC7">
        <w:rPr>
          <w:rFonts w:ascii="Arial" w:hAnsi="Arial" w:cs="Arial"/>
          <w:sz w:val="24"/>
          <w:szCs w:val="24"/>
        </w:rPr>
        <w:t xml:space="preserve">Although the vast majority of the enrolments at </w:t>
      </w:r>
      <w:r>
        <w:rPr>
          <w:rFonts w:ascii="Arial" w:hAnsi="Arial" w:cs="Arial"/>
          <w:sz w:val="24"/>
          <w:szCs w:val="24"/>
        </w:rPr>
        <w:t>N</w:t>
      </w:r>
      <w:r w:rsidR="00A97963">
        <w:rPr>
          <w:rFonts w:ascii="Arial" w:hAnsi="Arial" w:cs="Arial"/>
          <w:sz w:val="24"/>
          <w:szCs w:val="24"/>
        </w:rPr>
        <w:t xml:space="preserve">eath </w:t>
      </w:r>
      <w:r w:rsidRPr="00C26FC7">
        <w:rPr>
          <w:rFonts w:ascii="Arial" w:hAnsi="Arial" w:cs="Arial"/>
          <w:sz w:val="24"/>
          <w:szCs w:val="24"/>
        </w:rPr>
        <w:t>Port Talbot College are from learners of white origin</w:t>
      </w:r>
      <w:r w:rsidR="0059500D">
        <w:rPr>
          <w:rFonts w:ascii="Arial" w:hAnsi="Arial" w:cs="Arial"/>
          <w:sz w:val="24"/>
          <w:szCs w:val="24"/>
        </w:rPr>
        <w:t>,</w:t>
      </w:r>
      <w:r w:rsidRPr="00C26FC7">
        <w:rPr>
          <w:rFonts w:ascii="Arial" w:hAnsi="Arial" w:cs="Arial"/>
          <w:sz w:val="24"/>
          <w:szCs w:val="24"/>
        </w:rPr>
        <w:t xml:space="preserve"> there has been a decline in the percentage of the total number of enrolments from this group in the three years in question.</w:t>
      </w:r>
    </w:p>
    <w:p w:rsidR="00C26FC7" w:rsidRDefault="00C26FC7" w:rsidP="00C26FC7">
      <w:pPr>
        <w:rPr>
          <w:rFonts w:ascii="Arial" w:hAnsi="Arial" w:cs="Arial"/>
          <w:sz w:val="24"/>
          <w:szCs w:val="24"/>
        </w:rPr>
      </w:pPr>
      <w:r w:rsidRPr="00C26FC7">
        <w:rPr>
          <w:rFonts w:ascii="Arial" w:hAnsi="Arial" w:cs="Arial"/>
          <w:sz w:val="24"/>
          <w:szCs w:val="24"/>
        </w:rPr>
        <w:t>Over the period concerned</w:t>
      </w:r>
      <w:r w:rsidR="0059500D">
        <w:rPr>
          <w:rFonts w:ascii="Arial" w:hAnsi="Arial" w:cs="Arial"/>
          <w:sz w:val="24"/>
          <w:szCs w:val="24"/>
        </w:rPr>
        <w:t>,</w:t>
      </w:r>
      <w:r w:rsidRPr="00C26FC7">
        <w:rPr>
          <w:rFonts w:ascii="Arial" w:hAnsi="Arial" w:cs="Arial"/>
          <w:sz w:val="24"/>
          <w:szCs w:val="24"/>
        </w:rPr>
        <w:t xml:space="preserve"> there has been an increase in the number of enrolm</w:t>
      </w:r>
      <w:r>
        <w:rPr>
          <w:rFonts w:ascii="Arial" w:hAnsi="Arial" w:cs="Arial"/>
          <w:sz w:val="24"/>
          <w:szCs w:val="24"/>
        </w:rPr>
        <w:t xml:space="preserve">ents </w:t>
      </w:r>
      <w:r w:rsidRPr="00C26FC7">
        <w:rPr>
          <w:rFonts w:ascii="Arial" w:hAnsi="Arial" w:cs="Arial"/>
          <w:sz w:val="24"/>
          <w:szCs w:val="24"/>
        </w:rPr>
        <w:t>from the following ethnic groups: Asian</w:t>
      </w:r>
      <w:r w:rsidR="00720D5D" w:rsidRPr="00C26FC7">
        <w:rPr>
          <w:rFonts w:ascii="Arial" w:hAnsi="Arial" w:cs="Arial"/>
          <w:sz w:val="24"/>
          <w:szCs w:val="24"/>
        </w:rPr>
        <w:t>–</w:t>
      </w:r>
      <w:r w:rsidRPr="00C26FC7">
        <w:rPr>
          <w:rFonts w:ascii="Arial" w:hAnsi="Arial" w:cs="Arial"/>
          <w:sz w:val="24"/>
          <w:szCs w:val="24"/>
        </w:rPr>
        <w:t>Pakistani, Chinese, other Asian background, Mixed White – Black Caribbean, Mixed White – B</w:t>
      </w:r>
      <w:r>
        <w:rPr>
          <w:rFonts w:ascii="Arial" w:hAnsi="Arial" w:cs="Arial"/>
          <w:sz w:val="24"/>
          <w:szCs w:val="24"/>
        </w:rPr>
        <w:t>lack</w:t>
      </w:r>
      <w:r w:rsidRPr="00C26FC7">
        <w:rPr>
          <w:rFonts w:ascii="Arial" w:hAnsi="Arial" w:cs="Arial"/>
          <w:sz w:val="24"/>
          <w:szCs w:val="24"/>
        </w:rPr>
        <w:t xml:space="preserve"> African, Other Mixed background and other ethnic background. </w:t>
      </w:r>
      <w:r>
        <w:rPr>
          <w:rFonts w:ascii="Arial" w:hAnsi="Arial" w:cs="Arial"/>
          <w:sz w:val="24"/>
          <w:szCs w:val="24"/>
        </w:rPr>
        <w:t xml:space="preserve">The number of learners who refuse to provide their ethnic origin has increased together with the number that fails to provide any details of ethnicity. </w:t>
      </w:r>
    </w:p>
    <w:p w:rsidR="00C26FC7" w:rsidRDefault="00C26FC7" w:rsidP="00C26FC7">
      <w:pPr>
        <w:rPr>
          <w:rFonts w:ascii="Arial" w:hAnsi="Arial" w:cs="Arial"/>
          <w:sz w:val="24"/>
          <w:szCs w:val="24"/>
        </w:rPr>
      </w:pPr>
      <w:r>
        <w:rPr>
          <w:rFonts w:ascii="Arial" w:hAnsi="Arial" w:cs="Arial"/>
          <w:sz w:val="24"/>
          <w:szCs w:val="24"/>
        </w:rPr>
        <w:t>Predicted population trends by ethnicity were obtained from the Welsh Government. The table below indicates the predicted cha</w:t>
      </w:r>
      <w:r w:rsidR="00A97963">
        <w:rPr>
          <w:rFonts w:ascii="Arial" w:hAnsi="Arial" w:cs="Arial"/>
          <w:sz w:val="24"/>
          <w:szCs w:val="24"/>
        </w:rPr>
        <w:t>nges in ethnic distribution in N</w:t>
      </w:r>
      <w:r>
        <w:rPr>
          <w:rFonts w:ascii="Arial" w:hAnsi="Arial" w:cs="Arial"/>
          <w:sz w:val="24"/>
          <w:szCs w:val="24"/>
        </w:rPr>
        <w:t xml:space="preserve">eath Port Talbot </w:t>
      </w:r>
      <w:r w:rsidR="00A97963">
        <w:rPr>
          <w:rFonts w:ascii="Arial" w:hAnsi="Arial" w:cs="Arial"/>
          <w:sz w:val="24"/>
          <w:szCs w:val="24"/>
        </w:rPr>
        <w:t>over the three years in question</w:t>
      </w:r>
      <w:r w:rsidR="00752E75">
        <w:rPr>
          <w:rFonts w:ascii="Arial" w:hAnsi="Arial" w:cs="Arial"/>
          <w:sz w:val="24"/>
          <w:szCs w:val="24"/>
        </w:rPr>
        <w:t>:</w:t>
      </w:r>
    </w:p>
    <w:tbl>
      <w:tblPr>
        <w:tblStyle w:val="TableGrid"/>
        <w:tblW w:w="0" w:type="auto"/>
        <w:tblLook w:val="04A0"/>
      </w:tblPr>
      <w:tblGrid>
        <w:gridCol w:w="2310"/>
        <w:gridCol w:w="2310"/>
        <w:gridCol w:w="2311"/>
        <w:gridCol w:w="2311"/>
      </w:tblGrid>
      <w:tr w:rsidR="00A97963" w:rsidTr="00A97963">
        <w:tc>
          <w:tcPr>
            <w:tcW w:w="2310" w:type="dxa"/>
            <w:shd w:val="clear" w:color="auto" w:fill="E5B8B7" w:themeFill="accent2" w:themeFillTint="66"/>
          </w:tcPr>
          <w:p w:rsidR="00A97963" w:rsidRDefault="00A97963" w:rsidP="00A97963">
            <w:pPr>
              <w:jc w:val="center"/>
              <w:rPr>
                <w:rFonts w:ascii="Arial" w:hAnsi="Arial" w:cs="Arial"/>
                <w:sz w:val="24"/>
                <w:szCs w:val="24"/>
              </w:rPr>
            </w:pPr>
            <w:r>
              <w:rPr>
                <w:rFonts w:ascii="Arial" w:hAnsi="Arial" w:cs="Arial"/>
                <w:sz w:val="24"/>
                <w:szCs w:val="24"/>
              </w:rPr>
              <w:t>Ethnic Group</w:t>
            </w:r>
          </w:p>
          <w:p w:rsidR="00A97963" w:rsidRDefault="00A97963" w:rsidP="00A97963">
            <w:pPr>
              <w:jc w:val="center"/>
              <w:rPr>
                <w:rFonts w:ascii="Arial" w:hAnsi="Arial" w:cs="Arial"/>
                <w:sz w:val="24"/>
                <w:szCs w:val="24"/>
              </w:rPr>
            </w:pPr>
          </w:p>
        </w:tc>
        <w:tc>
          <w:tcPr>
            <w:tcW w:w="2310" w:type="dxa"/>
            <w:shd w:val="clear" w:color="auto" w:fill="E5B8B7" w:themeFill="accent2" w:themeFillTint="66"/>
          </w:tcPr>
          <w:p w:rsidR="00A97963" w:rsidRDefault="00A97963" w:rsidP="00A97963">
            <w:pPr>
              <w:jc w:val="center"/>
              <w:rPr>
                <w:rFonts w:ascii="Arial" w:hAnsi="Arial" w:cs="Arial"/>
                <w:sz w:val="24"/>
                <w:szCs w:val="24"/>
              </w:rPr>
            </w:pPr>
            <w:r>
              <w:rPr>
                <w:rFonts w:ascii="Arial" w:hAnsi="Arial" w:cs="Arial"/>
                <w:sz w:val="24"/>
                <w:szCs w:val="24"/>
              </w:rPr>
              <w:t>2007</w:t>
            </w:r>
          </w:p>
        </w:tc>
        <w:tc>
          <w:tcPr>
            <w:tcW w:w="2311" w:type="dxa"/>
            <w:shd w:val="clear" w:color="auto" w:fill="E5B8B7" w:themeFill="accent2" w:themeFillTint="66"/>
          </w:tcPr>
          <w:p w:rsidR="00A97963" w:rsidRDefault="00A97963" w:rsidP="00A97963">
            <w:pPr>
              <w:jc w:val="center"/>
              <w:rPr>
                <w:rFonts w:ascii="Arial" w:hAnsi="Arial" w:cs="Arial"/>
                <w:sz w:val="24"/>
                <w:szCs w:val="24"/>
              </w:rPr>
            </w:pPr>
            <w:r>
              <w:rPr>
                <w:rFonts w:ascii="Arial" w:hAnsi="Arial" w:cs="Arial"/>
                <w:sz w:val="24"/>
                <w:szCs w:val="24"/>
              </w:rPr>
              <w:t>2008</w:t>
            </w:r>
          </w:p>
        </w:tc>
        <w:tc>
          <w:tcPr>
            <w:tcW w:w="2311" w:type="dxa"/>
            <w:shd w:val="clear" w:color="auto" w:fill="E5B8B7" w:themeFill="accent2" w:themeFillTint="66"/>
          </w:tcPr>
          <w:p w:rsidR="00A97963" w:rsidRDefault="00A97963" w:rsidP="00A97963">
            <w:pPr>
              <w:jc w:val="center"/>
              <w:rPr>
                <w:rFonts w:ascii="Arial" w:hAnsi="Arial" w:cs="Arial"/>
                <w:sz w:val="24"/>
                <w:szCs w:val="24"/>
              </w:rPr>
            </w:pPr>
            <w:r>
              <w:rPr>
                <w:rFonts w:ascii="Arial" w:hAnsi="Arial" w:cs="Arial"/>
                <w:sz w:val="24"/>
                <w:szCs w:val="24"/>
              </w:rPr>
              <w:t>2009</w:t>
            </w:r>
          </w:p>
        </w:tc>
      </w:tr>
      <w:tr w:rsidR="00A97963" w:rsidTr="00A97963">
        <w:tc>
          <w:tcPr>
            <w:tcW w:w="2310" w:type="dxa"/>
            <w:shd w:val="clear" w:color="auto" w:fill="E5B8B7" w:themeFill="accent2" w:themeFillTint="66"/>
          </w:tcPr>
          <w:p w:rsidR="00A97963" w:rsidRDefault="00A97963" w:rsidP="00A97963">
            <w:pPr>
              <w:jc w:val="center"/>
              <w:rPr>
                <w:rFonts w:ascii="Arial" w:hAnsi="Arial" w:cs="Arial"/>
                <w:sz w:val="24"/>
                <w:szCs w:val="24"/>
              </w:rPr>
            </w:pPr>
            <w:r>
              <w:rPr>
                <w:rFonts w:ascii="Arial" w:hAnsi="Arial" w:cs="Arial"/>
                <w:sz w:val="24"/>
                <w:szCs w:val="24"/>
              </w:rPr>
              <w:t>White</w:t>
            </w:r>
          </w:p>
          <w:p w:rsidR="00A97963" w:rsidRDefault="00A97963" w:rsidP="00A97963">
            <w:pPr>
              <w:jc w:val="center"/>
              <w:rPr>
                <w:rFonts w:ascii="Arial" w:hAnsi="Arial" w:cs="Arial"/>
                <w:sz w:val="24"/>
                <w:szCs w:val="24"/>
              </w:rPr>
            </w:pPr>
          </w:p>
        </w:tc>
        <w:tc>
          <w:tcPr>
            <w:tcW w:w="2310" w:type="dxa"/>
          </w:tcPr>
          <w:p w:rsidR="00A97963" w:rsidRDefault="00A97963" w:rsidP="00A97963">
            <w:pPr>
              <w:jc w:val="center"/>
              <w:rPr>
                <w:rFonts w:ascii="Arial" w:hAnsi="Arial" w:cs="Arial"/>
                <w:sz w:val="24"/>
                <w:szCs w:val="24"/>
              </w:rPr>
            </w:pPr>
            <w:r>
              <w:rPr>
                <w:rFonts w:ascii="Arial" w:hAnsi="Arial" w:cs="Arial"/>
                <w:sz w:val="24"/>
                <w:szCs w:val="24"/>
              </w:rPr>
              <w:t>97.9%</w:t>
            </w:r>
          </w:p>
        </w:tc>
        <w:tc>
          <w:tcPr>
            <w:tcW w:w="2311" w:type="dxa"/>
          </w:tcPr>
          <w:p w:rsidR="00A97963" w:rsidRDefault="00A97963" w:rsidP="00A97963">
            <w:pPr>
              <w:jc w:val="center"/>
              <w:rPr>
                <w:rFonts w:ascii="Arial" w:hAnsi="Arial" w:cs="Arial"/>
                <w:sz w:val="24"/>
                <w:szCs w:val="24"/>
              </w:rPr>
            </w:pPr>
            <w:r>
              <w:rPr>
                <w:rFonts w:ascii="Arial" w:hAnsi="Arial" w:cs="Arial"/>
                <w:sz w:val="24"/>
                <w:szCs w:val="24"/>
              </w:rPr>
              <w:t>97.6%</w:t>
            </w:r>
          </w:p>
        </w:tc>
        <w:tc>
          <w:tcPr>
            <w:tcW w:w="2311" w:type="dxa"/>
          </w:tcPr>
          <w:p w:rsidR="00A97963" w:rsidRDefault="00A97963" w:rsidP="00A97963">
            <w:pPr>
              <w:jc w:val="center"/>
              <w:rPr>
                <w:rFonts w:ascii="Arial" w:hAnsi="Arial" w:cs="Arial"/>
                <w:sz w:val="24"/>
                <w:szCs w:val="24"/>
              </w:rPr>
            </w:pPr>
            <w:r>
              <w:rPr>
                <w:rFonts w:ascii="Arial" w:hAnsi="Arial" w:cs="Arial"/>
                <w:sz w:val="24"/>
                <w:szCs w:val="24"/>
              </w:rPr>
              <w:t>97.5%</w:t>
            </w:r>
          </w:p>
        </w:tc>
      </w:tr>
      <w:tr w:rsidR="00A97963" w:rsidTr="00A97963">
        <w:tc>
          <w:tcPr>
            <w:tcW w:w="2310" w:type="dxa"/>
            <w:shd w:val="clear" w:color="auto" w:fill="E5B8B7" w:themeFill="accent2" w:themeFillTint="66"/>
          </w:tcPr>
          <w:p w:rsidR="00A97963" w:rsidRDefault="00A97963" w:rsidP="00A97963">
            <w:pPr>
              <w:jc w:val="center"/>
              <w:rPr>
                <w:rFonts w:ascii="Arial" w:hAnsi="Arial" w:cs="Arial"/>
                <w:sz w:val="24"/>
                <w:szCs w:val="24"/>
              </w:rPr>
            </w:pPr>
            <w:r>
              <w:rPr>
                <w:rFonts w:ascii="Arial" w:hAnsi="Arial" w:cs="Arial"/>
                <w:sz w:val="24"/>
                <w:szCs w:val="24"/>
              </w:rPr>
              <w:t>Mixed</w:t>
            </w:r>
          </w:p>
          <w:p w:rsidR="00A97963" w:rsidRDefault="00A97963" w:rsidP="00A97963">
            <w:pPr>
              <w:jc w:val="center"/>
              <w:rPr>
                <w:rFonts w:ascii="Arial" w:hAnsi="Arial" w:cs="Arial"/>
                <w:sz w:val="24"/>
                <w:szCs w:val="24"/>
              </w:rPr>
            </w:pPr>
          </w:p>
        </w:tc>
        <w:tc>
          <w:tcPr>
            <w:tcW w:w="2310" w:type="dxa"/>
          </w:tcPr>
          <w:p w:rsidR="00A97963" w:rsidRDefault="00A97963" w:rsidP="00A97963">
            <w:pPr>
              <w:jc w:val="center"/>
              <w:rPr>
                <w:rFonts w:ascii="Arial" w:hAnsi="Arial" w:cs="Arial"/>
                <w:sz w:val="24"/>
                <w:szCs w:val="24"/>
              </w:rPr>
            </w:pPr>
            <w:r>
              <w:rPr>
                <w:rFonts w:ascii="Arial" w:hAnsi="Arial" w:cs="Arial"/>
                <w:sz w:val="24"/>
                <w:szCs w:val="24"/>
              </w:rPr>
              <w:t>0.7%</w:t>
            </w:r>
          </w:p>
        </w:tc>
        <w:tc>
          <w:tcPr>
            <w:tcW w:w="2311" w:type="dxa"/>
          </w:tcPr>
          <w:p w:rsidR="00A97963" w:rsidRDefault="00A97963" w:rsidP="00A97963">
            <w:pPr>
              <w:jc w:val="center"/>
              <w:rPr>
                <w:rFonts w:ascii="Arial" w:hAnsi="Arial" w:cs="Arial"/>
                <w:sz w:val="24"/>
                <w:szCs w:val="24"/>
              </w:rPr>
            </w:pPr>
            <w:r>
              <w:rPr>
                <w:rFonts w:ascii="Arial" w:hAnsi="Arial" w:cs="Arial"/>
                <w:sz w:val="24"/>
                <w:szCs w:val="24"/>
              </w:rPr>
              <w:t>0.7%</w:t>
            </w:r>
          </w:p>
        </w:tc>
        <w:tc>
          <w:tcPr>
            <w:tcW w:w="2311" w:type="dxa"/>
          </w:tcPr>
          <w:p w:rsidR="00A97963" w:rsidRDefault="00A97963" w:rsidP="00A97963">
            <w:pPr>
              <w:jc w:val="center"/>
              <w:rPr>
                <w:rFonts w:ascii="Arial" w:hAnsi="Arial" w:cs="Arial"/>
                <w:sz w:val="24"/>
                <w:szCs w:val="24"/>
              </w:rPr>
            </w:pPr>
            <w:r>
              <w:rPr>
                <w:rFonts w:ascii="Arial" w:hAnsi="Arial" w:cs="Arial"/>
                <w:sz w:val="24"/>
                <w:szCs w:val="24"/>
              </w:rPr>
              <w:t>0.7%</w:t>
            </w:r>
          </w:p>
        </w:tc>
      </w:tr>
      <w:tr w:rsidR="00A97963" w:rsidTr="00A97963">
        <w:tc>
          <w:tcPr>
            <w:tcW w:w="2310" w:type="dxa"/>
            <w:shd w:val="clear" w:color="auto" w:fill="E5B8B7" w:themeFill="accent2" w:themeFillTint="66"/>
          </w:tcPr>
          <w:p w:rsidR="00A97963" w:rsidRDefault="00A97963" w:rsidP="00A97963">
            <w:pPr>
              <w:jc w:val="center"/>
              <w:rPr>
                <w:rFonts w:ascii="Arial" w:hAnsi="Arial" w:cs="Arial"/>
                <w:sz w:val="24"/>
                <w:szCs w:val="24"/>
              </w:rPr>
            </w:pPr>
            <w:r>
              <w:rPr>
                <w:rFonts w:ascii="Arial" w:hAnsi="Arial" w:cs="Arial"/>
                <w:sz w:val="24"/>
                <w:szCs w:val="24"/>
              </w:rPr>
              <w:t>Asian/Asian British</w:t>
            </w:r>
          </w:p>
          <w:p w:rsidR="00A97963" w:rsidRDefault="00A97963" w:rsidP="00A97963">
            <w:pPr>
              <w:jc w:val="center"/>
              <w:rPr>
                <w:rFonts w:ascii="Arial" w:hAnsi="Arial" w:cs="Arial"/>
                <w:sz w:val="24"/>
                <w:szCs w:val="24"/>
              </w:rPr>
            </w:pPr>
          </w:p>
        </w:tc>
        <w:tc>
          <w:tcPr>
            <w:tcW w:w="2310" w:type="dxa"/>
          </w:tcPr>
          <w:p w:rsidR="00A97963" w:rsidRDefault="00A97963" w:rsidP="00A97963">
            <w:pPr>
              <w:jc w:val="center"/>
              <w:rPr>
                <w:rFonts w:ascii="Arial" w:hAnsi="Arial" w:cs="Arial"/>
                <w:sz w:val="24"/>
                <w:szCs w:val="24"/>
              </w:rPr>
            </w:pPr>
            <w:r>
              <w:rPr>
                <w:rFonts w:ascii="Arial" w:hAnsi="Arial" w:cs="Arial"/>
                <w:sz w:val="24"/>
                <w:szCs w:val="24"/>
              </w:rPr>
              <w:t>0.8%</w:t>
            </w:r>
          </w:p>
        </w:tc>
        <w:tc>
          <w:tcPr>
            <w:tcW w:w="2311" w:type="dxa"/>
          </w:tcPr>
          <w:p w:rsidR="00A97963" w:rsidRDefault="00A97963" w:rsidP="00A97963">
            <w:pPr>
              <w:jc w:val="center"/>
              <w:rPr>
                <w:rFonts w:ascii="Arial" w:hAnsi="Arial" w:cs="Arial"/>
                <w:sz w:val="24"/>
                <w:szCs w:val="24"/>
              </w:rPr>
            </w:pPr>
            <w:r>
              <w:rPr>
                <w:rFonts w:ascii="Arial" w:hAnsi="Arial" w:cs="Arial"/>
                <w:sz w:val="24"/>
                <w:szCs w:val="24"/>
              </w:rPr>
              <w:t>0.8%</w:t>
            </w:r>
          </w:p>
        </w:tc>
        <w:tc>
          <w:tcPr>
            <w:tcW w:w="2311" w:type="dxa"/>
          </w:tcPr>
          <w:p w:rsidR="00A97963" w:rsidRDefault="00A97963" w:rsidP="00A97963">
            <w:pPr>
              <w:jc w:val="center"/>
              <w:rPr>
                <w:rFonts w:ascii="Arial" w:hAnsi="Arial" w:cs="Arial"/>
                <w:sz w:val="24"/>
                <w:szCs w:val="24"/>
              </w:rPr>
            </w:pPr>
            <w:r>
              <w:rPr>
                <w:rFonts w:ascii="Arial" w:hAnsi="Arial" w:cs="Arial"/>
                <w:sz w:val="24"/>
                <w:szCs w:val="24"/>
              </w:rPr>
              <w:t>1.0%</w:t>
            </w:r>
          </w:p>
        </w:tc>
      </w:tr>
      <w:tr w:rsidR="00A97963" w:rsidTr="00A97963">
        <w:tc>
          <w:tcPr>
            <w:tcW w:w="2310" w:type="dxa"/>
            <w:shd w:val="clear" w:color="auto" w:fill="E5B8B7" w:themeFill="accent2" w:themeFillTint="66"/>
          </w:tcPr>
          <w:p w:rsidR="00A97963" w:rsidRDefault="00A97963" w:rsidP="00A97963">
            <w:pPr>
              <w:jc w:val="center"/>
              <w:rPr>
                <w:rFonts w:ascii="Arial" w:hAnsi="Arial" w:cs="Arial"/>
                <w:sz w:val="24"/>
                <w:szCs w:val="24"/>
              </w:rPr>
            </w:pPr>
            <w:r>
              <w:rPr>
                <w:rFonts w:ascii="Arial" w:hAnsi="Arial" w:cs="Arial"/>
                <w:sz w:val="24"/>
                <w:szCs w:val="24"/>
              </w:rPr>
              <w:t>Black/Black British</w:t>
            </w:r>
          </w:p>
          <w:p w:rsidR="00A97963" w:rsidRDefault="00A97963" w:rsidP="00A97963">
            <w:pPr>
              <w:jc w:val="center"/>
              <w:rPr>
                <w:rFonts w:ascii="Arial" w:hAnsi="Arial" w:cs="Arial"/>
                <w:sz w:val="24"/>
                <w:szCs w:val="24"/>
              </w:rPr>
            </w:pPr>
          </w:p>
        </w:tc>
        <w:tc>
          <w:tcPr>
            <w:tcW w:w="2310" w:type="dxa"/>
          </w:tcPr>
          <w:p w:rsidR="00A97963" w:rsidRDefault="00A97963" w:rsidP="00A97963">
            <w:pPr>
              <w:jc w:val="center"/>
              <w:rPr>
                <w:rFonts w:ascii="Arial" w:hAnsi="Arial" w:cs="Arial"/>
                <w:sz w:val="24"/>
                <w:szCs w:val="24"/>
              </w:rPr>
            </w:pPr>
            <w:r>
              <w:rPr>
                <w:rFonts w:ascii="Arial" w:hAnsi="Arial" w:cs="Arial"/>
                <w:sz w:val="24"/>
                <w:szCs w:val="24"/>
              </w:rPr>
              <w:t>0.3%</w:t>
            </w:r>
          </w:p>
        </w:tc>
        <w:tc>
          <w:tcPr>
            <w:tcW w:w="2311" w:type="dxa"/>
          </w:tcPr>
          <w:p w:rsidR="00A97963" w:rsidRDefault="00A97963" w:rsidP="00A97963">
            <w:pPr>
              <w:jc w:val="center"/>
              <w:rPr>
                <w:rFonts w:ascii="Arial" w:hAnsi="Arial" w:cs="Arial"/>
                <w:sz w:val="24"/>
                <w:szCs w:val="24"/>
              </w:rPr>
            </w:pPr>
            <w:r>
              <w:rPr>
                <w:rFonts w:ascii="Arial" w:hAnsi="Arial" w:cs="Arial"/>
                <w:sz w:val="24"/>
                <w:szCs w:val="24"/>
              </w:rPr>
              <w:t>0.3%</w:t>
            </w:r>
          </w:p>
        </w:tc>
        <w:tc>
          <w:tcPr>
            <w:tcW w:w="2311" w:type="dxa"/>
          </w:tcPr>
          <w:p w:rsidR="00A97963" w:rsidRDefault="00A97963" w:rsidP="00A97963">
            <w:pPr>
              <w:jc w:val="center"/>
              <w:rPr>
                <w:rFonts w:ascii="Arial" w:hAnsi="Arial" w:cs="Arial"/>
                <w:sz w:val="24"/>
                <w:szCs w:val="24"/>
              </w:rPr>
            </w:pPr>
            <w:r>
              <w:rPr>
                <w:rFonts w:ascii="Arial" w:hAnsi="Arial" w:cs="Arial"/>
                <w:sz w:val="24"/>
                <w:szCs w:val="24"/>
              </w:rPr>
              <w:t>0.4%</w:t>
            </w:r>
          </w:p>
        </w:tc>
      </w:tr>
      <w:tr w:rsidR="00A97963" w:rsidTr="00A97963">
        <w:tc>
          <w:tcPr>
            <w:tcW w:w="2310" w:type="dxa"/>
            <w:shd w:val="clear" w:color="auto" w:fill="E5B8B7" w:themeFill="accent2" w:themeFillTint="66"/>
          </w:tcPr>
          <w:p w:rsidR="00A97963" w:rsidRDefault="00A97963" w:rsidP="00A97963">
            <w:pPr>
              <w:jc w:val="center"/>
              <w:rPr>
                <w:rFonts w:ascii="Arial" w:hAnsi="Arial" w:cs="Arial"/>
                <w:sz w:val="24"/>
                <w:szCs w:val="24"/>
              </w:rPr>
            </w:pPr>
            <w:r>
              <w:rPr>
                <w:rFonts w:ascii="Arial" w:hAnsi="Arial" w:cs="Arial"/>
                <w:sz w:val="24"/>
                <w:szCs w:val="24"/>
              </w:rPr>
              <w:t>Other</w:t>
            </w:r>
          </w:p>
          <w:p w:rsidR="00A97963" w:rsidRDefault="00A97963" w:rsidP="00A97963">
            <w:pPr>
              <w:jc w:val="center"/>
              <w:rPr>
                <w:rFonts w:ascii="Arial" w:hAnsi="Arial" w:cs="Arial"/>
                <w:sz w:val="24"/>
                <w:szCs w:val="24"/>
              </w:rPr>
            </w:pPr>
          </w:p>
        </w:tc>
        <w:tc>
          <w:tcPr>
            <w:tcW w:w="2310" w:type="dxa"/>
          </w:tcPr>
          <w:p w:rsidR="00A97963" w:rsidRDefault="00A97963" w:rsidP="00A97963">
            <w:pPr>
              <w:jc w:val="center"/>
              <w:rPr>
                <w:rFonts w:ascii="Arial" w:hAnsi="Arial" w:cs="Arial"/>
                <w:sz w:val="24"/>
                <w:szCs w:val="24"/>
              </w:rPr>
            </w:pPr>
            <w:r>
              <w:rPr>
                <w:rFonts w:ascii="Arial" w:hAnsi="Arial" w:cs="Arial"/>
                <w:sz w:val="24"/>
                <w:szCs w:val="24"/>
              </w:rPr>
              <w:t>0.3%</w:t>
            </w:r>
          </w:p>
        </w:tc>
        <w:tc>
          <w:tcPr>
            <w:tcW w:w="2311" w:type="dxa"/>
          </w:tcPr>
          <w:p w:rsidR="00A97963" w:rsidRDefault="00A97963" w:rsidP="00A97963">
            <w:pPr>
              <w:jc w:val="center"/>
              <w:rPr>
                <w:rFonts w:ascii="Arial" w:hAnsi="Arial" w:cs="Arial"/>
                <w:sz w:val="24"/>
                <w:szCs w:val="24"/>
              </w:rPr>
            </w:pPr>
            <w:r>
              <w:rPr>
                <w:rFonts w:ascii="Arial" w:hAnsi="Arial" w:cs="Arial"/>
                <w:sz w:val="24"/>
                <w:szCs w:val="24"/>
              </w:rPr>
              <w:t>0.3%</w:t>
            </w:r>
          </w:p>
        </w:tc>
        <w:tc>
          <w:tcPr>
            <w:tcW w:w="2311" w:type="dxa"/>
          </w:tcPr>
          <w:p w:rsidR="00A97963" w:rsidRDefault="00A97963" w:rsidP="00A97963">
            <w:pPr>
              <w:jc w:val="center"/>
              <w:rPr>
                <w:rFonts w:ascii="Arial" w:hAnsi="Arial" w:cs="Arial"/>
                <w:sz w:val="24"/>
                <w:szCs w:val="24"/>
              </w:rPr>
            </w:pPr>
            <w:r>
              <w:rPr>
                <w:rFonts w:ascii="Arial" w:hAnsi="Arial" w:cs="Arial"/>
                <w:sz w:val="24"/>
                <w:szCs w:val="24"/>
              </w:rPr>
              <w:t>0.4%</w:t>
            </w:r>
          </w:p>
        </w:tc>
      </w:tr>
    </w:tbl>
    <w:p w:rsidR="00C26FC7" w:rsidRDefault="00A97963" w:rsidP="00A420A3">
      <w:pPr>
        <w:rPr>
          <w:rFonts w:ascii="Arial" w:hAnsi="Arial" w:cs="Arial"/>
          <w:sz w:val="24"/>
          <w:szCs w:val="24"/>
        </w:rPr>
      </w:pPr>
      <w:r w:rsidRPr="00A97963">
        <w:rPr>
          <w:rFonts w:ascii="Arial" w:hAnsi="Arial" w:cs="Arial"/>
          <w:sz w:val="24"/>
          <w:szCs w:val="24"/>
        </w:rPr>
        <w:t xml:space="preserve">Source: </w:t>
      </w:r>
      <w:hyperlink r:id="rId39" w:history="1">
        <w:r w:rsidRPr="004749C7">
          <w:rPr>
            <w:rStyle w:val="Hyperlink"/>
            <w:rFonts w:ascii="Arial" w:hAnsi="Arial" w:cs="Arial"/>
            <w:color w:val="auto"/>
            <w:sz w:val="24"/>
            <w:szCs w:val="24"/>
            <w:u w:val="none"/>
          </w:rPr>
          <w:t>www.statswales.gov.uk</w:t>
        </w:r>
      </w:hyperlink>
    </w:p>
    <w:p w:rsidR="00A97963" w:rsidRPr="00A97963" w:rsidRDefault="00A97963" w:rsidP="00A420A3">
      <w:pPr>
        <w:rPr>
          <w:rFonts w:ascii="Arial" w:hAnsi="Arial" w:cs="Arial"/>
          <w:sz w:val="24"/>
          <w:szCs w:val="24"/>
        </w:rPr>
      </w:pPr>
      <w:r>
        <w:rPr>
          <w:rFonts w:ascii="Arial" w:hAnsi="Arial" w:cs="Arial"/>
          <w:sz w:val="24"/>
          <w:szCs w:val="24"/>
        </w:rPr>
        <w:t xml:space="preserve">The trend in ethnicity across the College appears to be in line with the predicted changes in ethnicity across the Neath Port Talbot area. The percentage of enrolments from white ethnic origin appears to be lower than that predicted by demographics however. </w:t>
      </w:r>
      <w:r w:rsidR="007705A8">
        <w:rPr>
          <w:rFonts w:ascii="Arial" w:hAnsi="Arial" w:cs="Arial"/>
          <w:sz w:val="24"/>
          <w:szCs w:val="24"/>
        </w:rPr>
        <w:t xml:space="preserve">This indicates a higher percentage of enrolments at NPTC from other ethnic groups than demographics would lead us to expect. </w:t>
      </w:r>
      <w:r>
        <w:rPr>
          <w:rFonts w:ascii="Arial" w:hAnsi="Arial" w:cs="Arial"/>
          <w:sz w:val="24"/>
          <w:szCs w:val="24"/>
        </w:rPr>
        <w:t>It must be noted that in approximately 8% of enrolments</w:t>
      </w:r>
      <w:r w:rsidR="0059500D">
        <w:rPr>
          <w:rFonts w:ascii="Arial" w:hAnsi="Arial" w:cs="Arial"/>
          <w:sz w:val="24"/>
          <w:szCs w:val="24"/>
        </w:rPr>
        <w:t>,</w:t>
      </w:r>
      <w:r>
        <w:rPr>
          <w:rFonts w:ascii="Arial" w:hAnsi="Arial" w:cs="Arial"/>
          <w:sz w:val="24"/>
          <w:szCs w:val="24"/>
        </w:rPr>
        <w:t xml:space="preserve"> the ethnic origin is unknown. </w:t>
      </w:r>
    </w:p>
    <w:p w:rsidR="00A97963" w:rsidRDefault="00A97963" w:rsidP="00A420A3">
      <w:pPr>
        <w:rPr>
          <w:rFonts w:ascii="Arial" w:hAnsi="Arial" w:cs="Arial"/>
          <w:b/>
          <w:sz w:val="24"/>
          <w:szCs w:val="24"/>
        </w:rPr>
      </w:pPr>
    </w:p>
    <w:p w:rsidR="00A97963" w:rsidRDefault="00A97963" w:rsidP="00A420A3">
      <w:pPr>
        <w:rPr>
          <w:rFonts w:ascii="Arial" w:hAnsi="Arial" w:cs="Arial"/>
          <w:b/>
          <w:sz w:val="24"/>
          <w:szCs w:val="24"/>
        </w:rPr>
      </w:pPr>
    </w:p>
    <w:p w:rsidR="00A97963" w:rsidRDefault="00A97963" w:rsidP="00A420A3">
      <w:pPr>
        <w:rPr>
          <w:rFonts w:ascii="Arial" w:hAnsi="Arial" w:cs="Arial"/>
          <w:b/>
          <w:sz w:val="24"/>
          <w:szCs w:val="24"/>
        </w:rPr>
      </w:pPr>
    </w:p>
    <w:p w:rsidR="00A97963" w:rsidRDefault="00A97963" w:rsidP="00A420A3">
      <w:pPr>
        <w:rPr>
          <w:rFonts w:ascii="Arial" w:hAnsi="Arial" w:cs="Arial"/>
          <w:b/>
          <w:sz w:val="24"/>
          <w:szCs w:val="24"/>
        </w:rPr>
      </w:pPr>
    </w:p>
    <w:p w:rsidR="00A97963" w:rsidRDefault="00A97963" w:rsidP="00A420A3">
      <w:pPr>
        <w:rPr>
          <w:rFonts w:ascii="Arial" w:hAnsi="Arial" w:cs="Arial"/>
          <w:b/>
          <w:sz w:val="24"/>
          <w:szCs w:val="24"/>
        </w:rPr>
      </w:pPr>
    </w:p>
    <w:p w:rsidR="00614ECF" w:rsidRDefault="00614ECF" w:rsidP="00A420A3">
      <w:pPr>
        <w:rPr>
          <w:rFonts w:ascii="Arial" w:hAnsi="Arial" w:cs="Arial"/>
          <w:b/>
          <w:sz w:val="24"/>
          <w:szCs w:val="24"/>
        </w:rPr>
      </w:pPr>
    </w:p>
    <w:p w:rsidR="00A97963" w:rsidRDefault="00A97963" w:rsidP="00A420A3">
      <w:pPr>
        <w:rPr>
          <w:rFonts w:ascii="Arial" w:hAnsi="Arial" w:cs="Arial"/>
          <w:b/>
          <w:sz w:val="24"/>
          <w:szCs w:val="24"/>
        </w:rPr>
      </w:pPr>
      <w:r>
        <w:rPr>
          <w:rFonts w:ascii="Arial" w:hAnsi="Arial" w:cs="Arial"/>
          <w:b/>
          <w:sz w:val="24"/>
          <w:szCs w:val="24"/>
        </w:rPr>
        <w:t>Success by Ethnicity</w:t>
      </w:r>
    </w:p>
    <w:p w:rsidR="00A97963" w:rsidRDefault="00A97963" w:rsidP="00A420A3">
      <w:pPr>
        <w:rPr>
          <w:rFonts w:ascii="Arial" w:hAnsi="Arial" w:cs="Arial"/>
          <w:sz w:val="24"/>
          <w:szCs w:val="24"/>
        </w:rPr>
      </w:pPr>
      <w:r w:rsidRPr="00A97963">
        <w:rPr>
          <w:rFonts w:ascii="Arial" w:hAnsi="Arial" w:cs="Arial"/>
          <w:sz w:val="24"/>
          <w:szCs w:val="24"/>
        </w:rPr>
        <w:t>The following charts illustrate the success rates by ethnicity for males and females over a three year period. The numbers of enrolments from ethnic groups other than that of white origin still proves to be very small so in comparing the success rates of such groups it is necessary to bear in mind that the data may be skewed.</w:t>
      </w:r>
    </w:p>
    <w:p w:rsidR="00614ECF" w:rsidRDefault="00614ECF" w:rsidP="00A420A3">
      <w:pPr>
        <w:rPr>
          <w:rFonts w:ascii="Arial" w:hAnsi="Arial" w:cs="Arial"/>
          <w:b/>
          <w:sz w:val="24"/>
          <w:szCs w:val="24"/>
        </w:rPr>
      </w:pPr>
    </w:p>
    <w:p w:rsidR="00A97963" w:rsidRDefault="00A97963" w:rsidP="00A420A3">
      <w:pPr>
        <w:rPr>
          <w:rFonts w:ascii="Arial" w:hAnsi="Arial" w:cs="Arial"/>
          <w:b/>
          <w:sz w:val="24"/>
          <w:szCs w:val="24"/>
        </w:rPr>
      </w:pPr>
      <w:r w:rsidRPr="00A97963">
        <w:rPr>
          <w:rFonts w:ascii="Arial" w:hAnsi="Arial" w:cs="Arial"/>
          <w:b/>
          <w:sz w:val="24"/>
          <w:szCs w:val="24"/>
        </w:rPr>
        <w:t>2007-2008</w:t>
      </w:r>
    </w:p>
    <w:p w:rsidR="00614ECF" w:rsidRPr="00A97963" w:rsidRDefault="00614ECF" w:rsidP="00A420A3">
      <w:pPr>
        <w:rPr>
          <w:rFonts w:ascii="Arial" w:hAnsi="Arial" w:cs="Arial"/>
          <w:b/>
          <w:sz w:val="24"/>
          <w:szCs w:val="24"/>
        </w:rPr>
      </w:pPr>
    </w:p>
    <w:p w:rsidR="00A97963" w:rsidRDefault="0084517A" w:rsidP="0084517A">
      <w:pPr>
        <w:jc w:val="center"/>
        <w:rPr>
          <w:rFonts w:ascii="Arial" w:hAnsi="Arial" w:cs="Arial"/>
          <w:b/>
          <w:sz w:val="24"/>
          <w:szCs w:val="24"/>
        </w:rPr>
      </w:pPr>
      <w:r w:rsidRPr="0084517A">
        <w:rPr>
          <w:rFonts w:ascii="Arial" w:hAnsi="Arial" w:cs="Arial"/>
          <w:b/>
          <w:noProof/>
          <w:sz w:val="24"/>
          <w:szCs w:val="24"/>
        </w:rPr>
        <w:drawing>
          <wp:inline distT="0" distB="0" distL="0" distR="0">
            <wp:extent cx="4572000" cy="2743200"/>
            <wp:effectExtent l="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4517A" w:rsidRDefault="0084517A" w:rsidP="0084517A">
      <w:pPr>
        <w:jc w:val="center"/>
        <w:rPr>
          <w:rFonts w:ascii="Arial" w:hAnsi="Arial" w:cs="Arial"/>
          <w:b/>
          <w:sz w:val="24"/>
          <w:szCs w:val="24"/>
        </w:rPr>
      </w:pPr>
    </w:p>
    <w:p w:rsidR="00614ECF" w:rsidRDefault="00614ECF" w:rsidP="0084517A">
      <w:pPr>
        <w:jc w:val="center"/>
        <w:rPr>
          <w:rFonts w:ascii="Arial" w:hAnsi="Arial" w:cs="Arial"/>
          <w:b/>
          <w:sz w:val="24"/>
          <w:szCs w:val="24"/>
        </w:rPr>
      </w:pPr>
    </w:p>
    <w:p w:rsidR="0084517A" w:rsidRDefault="0084517A" w:rsidP="0084517A">
      <w:pPr>
        <w:jc w:val="center"/>
        <w:rPr>
          <w:rFonts w:ascii="Arial" w:hAnsi="Arial" w:cs="Arial"/>
          <w:b/>
          <w:sz w:val="24"/>
          <w:szCs w:val="24"/>
        </w:rPr>
      </w:pPr>
      <w:r w:rsidRPr="0084517A">
        <w:rPr>
          <w:rFonts w:ascii="Arial" w:hAnsi="Arial" w:cs="Arial"/>
          <w:b/>
          <w:noProof/>
          <w:sz w:val="24"/>
          <w:szCs w:val="24"/>
        </w:rPr>
        <w:drawing>
          <wp:inline distT="0" distB="0" distL="0" distR="0">
            <wp:extent cx="4572000" cy="2743200"/>
            <wp:effectExtent l="0" t="0" r="0"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4517A" w:rsidRDefault="0084517A" w:rsidP="0084517A">
      <w:pPr>
        <w:rPr>
          <w:rFonts w:ascii="Arial" w:hAnsi="Arial" w:cs="Arial"/>
          <w:b/>
          <w:sz w:val="24"/>
          <w:szCs w:val="24"/>
        </w:rPr>
      </w:pPr>
      <w:r>
        <w:rPr>
          <w:rFonts w:ascii="Arial" w:hAnsi="Arial" w:cs="Arial"/>
          <w:b/>
          <w:sz w:val="24"/>
          <w:szCs w:val="24"/>
        </w:rPr>
        <w:t>2008-2009</w:t>
      </w:r>
    </w:p>
    <w:p w:rsidR="0084517A" w:rsidRDefault="0084517A" w:rsidP="0084517A">
      <w:pPr>
        <w:rPr>
          <w:rFonts w:ascii="Arial" w:hAnsi="Arial" w:cs="Arial"/>
          <w:b/>
          <w:sz w:val="24"/>
          <w:szCs w:val="24"/>
        </w:rPr>
      </w:pPr>
    </w:p>
    <w:p w:rsidR="0084517A" w:rsidRDefault="0084517A" w:rsidP="0084517A">
      <w:pPr>
        <w:jc w:val="center"/>
        <w:rPr>
          <w:rFonts w:ascii="Arial" w:hAnsi="Arial" w:cs="Arial"/>
          <w:b/>
          <w:sz w:val="24"/>
          <w:szCs w:val="24"/>
        </w:rPr>
      </w:pPr>
      <w:r w:rsidRPr="0084517A">
        <w:rPr>
          <w:rFonts w:ascii="Arial" w:hAnsi="Arial" w:cs="Arial"/>
          <w:b/>
          <w:noProof/>
          <w:sz w:val="24"/>
          <w:szCs w:val="24"/>
        </w:rPr>
        <w:drawing>
          <wp:inline distT="0" distB="0" distL="0" distR="0">
            <wp:extent cx="4572000" cy="2743200"/>
            <wp:effectExtent l="0" t="0" r="0" b="0"/>
            <wp:docPr id="2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4517A" w:rsidRDefault="0084517A" w:rsidP="0084517A">
      <w:pPr>
        <w:jc w:val="center"/>
        <w:rPr>
          <w:rFonts w:ascii="Arial" w:hAnsi="Arial" w:cs="Arial"/>
          <w:b/>
          <w:sz w:val="24"/>
          <w:szCs w:val="24"/>
        </w:rPr>
      </w:pPr>
    </w:p>
    <w:p w:rsidR="0084517A" w:rsidRDefault="0084517A" w:rsidP="0084517A">
      <w:pPr>
        <w:jc w:val="center"/>
        <w:rPr>
          <w:rFonts w:ascii="Arial" w:hAnsi="Arial" w:cs="Arial"/>
          <w:b/>
          <w:sz w:val="24"/>
          <w:szCs w:val="24"/>
        </w:rPr>
      </w:pPr>
    </w:p>
    <w:p w:rsidR="0084517A" w:rsidRDefault="0084517A" w:rsidP="0084517A">
      <w:pPr>
        <w:jc w:val="center"/>
        <w:rPr>
          <w:rFonts w:ascii="Arial" w:hAnsi="Arial" w:cs="Arial"/>
          <w:b/>
          <w:sz w:val="24"/>
          <w:szCs w:val="24"/>
        </w:rPr>
      </w:pPr>
      <w:r w:rsidRPr="0084517A">
        <w:rPr>
          <w:rFonts w:ascii="Arial" w:hAnsi="Arial" w:cs="Arial"/>
          <w:b/>
          <w:noProof/>
          <w:sz w:val="24"/>
          <w:szCs w:val="24"/>
        </w:rPr>
        <w:drawing>
          <wp:inline distT="0" distB="0" distL="0" distR="0">
            <wp:extent cx="4572000" cy="2743200"/>
            <wp:effectExtent l="0" t="0" r="0" b="0"/>
            <wp:docPr id="3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C4F68" w:rsidRDefault="009C4F68" w:rsidP="0084517A">
      <w:pPr>
        <w:jc w:val="center"/>
        <w:rPr>
          <w:rFonts w:ascii="Arial" w:hAnsi="Arial" w:cs="Arial"/>
          <w:b/>
          <w:sz w:val="24"/>
          <w:szCs w:val="24"/>
        </w:rPr>
      </w:pPr>
    </w:p>
    <w:p w:rsidR="009C4F68" w:rsidRDefault="009C4F68" w:rsidP="0084517A">
      <w:pPr>
        <w:jc w:val="center"/>
        <w:rPr>
          <w:rFonts w:ascii="Arial" w:hAnsi="Arial" w:cs="Arial"/>
          <w:b/>
          <w:sz w:val="24"/>
          <w:szCs w:val="24"/>
        </w:rPr>
      </w:pPr>
    </w:p>
    <w:p w:rsidR="009C4F68" w:rsidRDefault="009C4F68" w:rsidP="0084517A">
      <w:pPr>
        <w:jc w:val="center"/>
        <w:rPr>
          <w:rFonts w:ascii="Arial" w:hAnsi="Arial" w:cs="Arial"/>
          <w:b/>
          <w:sz w:val="24"/>
          <w:szCs w:val="24"/>
        </w:rPr>
      </w:pPr>
    </w:p>
    <w:p w:rsidR="009C4F68" w:rsidRDefault="009C4F68" w:rsidP="0084517A">
      <w:pPr>
        <w:jc w:val="center"/>
        <w:rPr>
          <w:rFonts w:ascii="Arial" w:hAnsi="Arial" w:cs="Arial"/>
          <w:b/>
          <w:sz w:val="24"/>
          <w:szCs w:val="24"/>
        </w:rPr>
      </w:pPr>
    </w:p>
    <w:p w:rsidR="009C4F68" w:rsidRDefault="009C4F68" w:rsidP="0084517A">
      <w:pPr>
        <w:jc w:val="center"/>
        <w:rPr>
          <w:rFonts w:ascii="Arial" w:hAnsi="Arial" w:cs="Arial"/>
          <w:b/>
          <w:sz w:val="24"/>
          <w:szCs w:val="24"/>
        </w:rPr>
      </w:pPr>
    </w:p>
    <w:p w:rsidR="009C4F68" w:rsidRDefault="009C4F68" w:rsidP="009C4F68">
      <w:pPr>
        <w:rPr>
          <w:rFonts w:ascii="Arial" w:hAnsi="Arial" w:cs="Arial"/>
          <w:b/>
          <w:sz w:val="24"/>
          <w:szCs w:val="24"/>
        </w:rPr>
      </w:pPr>
      <w:r>
        <w:rPr>
          <w:rFonts w:ascii="Arial" w:hAnsi="Arial" w:cs="Arial"/>
          <w:b/>
          <w:sz w:val="24"/>
          <w:szCs w:val="24"/>
        </w:rPr>
        <w:t>2009-2010</w:t>
      </w:r>
    </w:p>
    <w:p w:rsidR="009C4F68" w:rsidRDefault="009C4F68" w:rsidP="009C4F68">
      <w:pPr>
        <w:rPr>
          <w:rFonts w:ascii="Arial" w:hAnsi="Arial" w:cs="Arial"/>
          <w:b/>
          <w:sz w:val="24"/>
          <w:szCs w:val="24"/>
        </w:rPr>
      </w:pPr>
    </w:p>
    <w:p w:rsidR="009C4F68" w:rsidRDefault="009C4F68" w:rsidP="009C4F68">
      <w:pPr>
        <w:jc w:val="center"/>
        <w:rPr>
          <w:rFonts w:ascii="Arial" w:hAnsi="Arial" w:cs="Arial"/>
          <w:b/>
          <w:sz w:val="24"/>
          <w:szCs w:val="24"/>
        </w:rPr>
      </w:pPr>
      <w:r w:rsidRPr="009C4F68">
        <w:rPr>
          <w:rFonts w:ascii="Arial" w:hAnsi="Arial" w:cs="Arial"/>
          <w:b/>
          <w:noProof/>
          <w:sz w:val="24"/>
          <w:szCs w:val="24"/>
        </w:rPr>
        <w:drawing>
          <wp:inline distT="0" distB="0" distL="0" distR="0">
            <wp:extent cx="4572000" cy="2743200"/>
            <wp:effectExtent l="0" t="0" r="0" b="0"/>
            <wp:docPr id="3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C4F68" w:rsidRDefault="009C4F68" w:rsidP="009C4F68">
      <w:pPr>
        <w:jc w:val="center"/>
        <w:rPr>
          <w:rFonts w:ascii="Arial" w:hAnsi="Arial" w:cs="Arial"/>
          <w:b/>
          <w:sz w:val="24"/>
          <w:szCs w:val="24"/>
        </w:rPr>
      </w:pPr>
    </w:p>
    <w:p w:rsidR="009C4F68" w:rsidRDefault="009C4F68" w:rsidP="009C4F68">
      <w:pPr>
        <w:jc w:val="center"/>
        <w:rPr>
          <w:rFonts w:ascii="Arial" w:hAnsi="Arial" w:cs="Arial"/>
          <w:b/>
          <w:sz w:val="24"/>
          <w:szCs w:val="24"/>
        </w:rPr>
      </w:pPr>
    </w:p>
    <w:p w:rsidR="009C4F68" w:rsidRDefault="009C4F68" w:rsidP="009C4F68">
      <w:pPr>
        <w:jc w:val="center"/>
        <w:rPr>
          <w:rFonts w:ascii="Arial" w:hAnsi="Arial" w:cs="Arial"/>
          <w:b/>
          <w:sz w:val="24"/>
          <w:szCs w:val="24"/>
        </w:rPr>
      </w:pPr>
      <w:r w:rsidRPr="009C4F68">
        <w:rPr>
          <w:rFonts w:ascii="Arial" w:hAnsi="Arial" w:cs="Arial"/>
          <w:b/>
          <w:noProof/>
          <w:sz w:val="24"/>
          <w:szCs w:val="24"/>
        </w:rPr>
        <w:drawing>
          <wp:inline distT="0" distB="0" distL="0" distR="0">
            <wp:extent cx="4572000" cy="2743200"/>
            <wp:effectExtent l="0" t="0" r="0" b="0"/>
            <wp:docPr id="3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C4F68" w:rsidRDefault="009C4F68" w:rsidP="009C4F68">
      <w:pPr>
        <w:jc w:val="center"/>
        <w:rPr>
          <w:rFonts w:ascii="Arial" w:hAnsi="Arial" w:cs="Arial"/>
          <w:b/>
          <w:sz w:val="24"/>
          <w:szCs w:val="24"/>
        </w:rPr>
      </w:pPr>
    </w:p>
    <w:p w:rsidR="00614ECF" w:rsidRDefault="00614ECF" w:rsidP="009C4F68">
      <w:pPr>
        <w:rPr>
          <w:rFonts w:ascii="Arial" w:hAnsi="Arial" w:cs="Arial"/>
          <w:sz w:val="24"/>
          <w:szCs w:val="24"/>
        </w:rPr>
      </w:pPr>
    </w:p>
    <w:p w:rsidR="00614ECF" w:rsidRDefault="00614ECF" w:rsidP="009C4F68">
      <w:pPr>
        <w:rPr>
          <w:rFonts w:ascii="Arial" w:hAnsi="Arial" w:cs="Arial"/>
          <w:sz w:val="24"/>
          <w:szCs w:val="24"/>
        </w:rPr>
      </w:pPr>
    </w:p>
    <w:p w:rsidR="00614ECF" w:rsidRDefault="00614ECF" w:rsidP="009C4F68">
      <w:pPr>
        <w:rPr>
          <w:rFonts w:ascii="Arial" w:hAnsi="Arial" w:cs="Arial"/>
          <w:sz w:val="24"/>
          <w:szCs w:val="24"/>
        </w:rPr>
      </w:pPr>
    </w:p>
    <w:p w:rsidR="00614ECF" w:rsidRDefault="00614ECF" w:rsidP="009C4F68">
      <w:pPr>
        <w:rPr>
          <w:rFonts w:ascii="Arial" w:hAnsi="Arial" w:cs="Arial"/>
          <w:sz w:val="24"/>
          <w:szCs w:val="24"/>
        </w:rPr>
      </w:pPr>
    </w:p>
    <w:p w:rsidR="009C4F68" w:rsidRDefault="009C4F68" w:rsidP="009C4F68">
      <w:pPr>
        <w:rPr>
          <w:rFonts w:ascii="Arial" w:hAnsi="Arial" w:cs="Arial"/>
          <w:sz w:val="24"/>
          <w:szCs w:val="24"/>
        </w:rPr>
      </w:pPr>
      <w:r w:rsidRPr="009C4F68">
        <w:rPr>
          <w:rFonts w:ascii="Arial" w:hAnsi="Arial" w:cs="Arial"/>
          <w:sz w:val="24"/>
          <w:szCs w:val="24"/>
        </w:rPr>
        <w:t>The following graphs show the comparison between the success rates of males and females of the same ethnic origin over a three</w:t>
      </w:r>
      <w:r w:rsidR="007D44FC">
        <w:rPr>
          <w:rFonts w:ascii="Arial" w:hAnsi="Arial" w:cs="Arial"/>
          <w:sz w:val="24"/>
          <w:szCs w:val="24"/>
        </w:rPr>
        <w:t>-</w:t>
      </w:r>
      <w:r w:rsidRPr="009C4F68">
        <w:rPr>
          <w:rFonts w:ascii="Arial" w:hAnsi="Arial" w:cs="Arial"/>
          <w:sz w:val="24"/>
          <w:szCs w:val="24"/>
        </w:rPr>
        <w:t>year period</w:t>
      </w:r>
      <w:r w:rsidR="00614ECF">
        <w:rPr>
          <w:rFonts w:ascii="Arial" w:hAnsi="Arial" w:cs="Arial"/>
          <w:sz w:val="24"/>
          <w:szCs w:val="24"/>
        </w:rPr>
        <w:t>:</w:t>
      </w:r>
    </w:p>
    <w:p w:rsidR="009C4F68" w:rsidRDefault="009C4F68" w:rsidP="009C4F68">
      <w:pPr>
        <w:jc w:val="center"/>
        <w:rPr>
          <w:rFonts w:ascii="Arial" w:hAnsi="Arial" w:cs="Arial"/>
          <w:sz w:val="24"/>
          <w:szCs w:val="24"/>
        </w:rPr>
      </w:pPr>
      <w:r w:rsidRPr="009C4F68">
        <w:rPr>
          <w:rFonts w:ascii="Arial" w:hAnsi="Arial" w:cs="Arial"/>
          <w:noProof/>
          <w:sz w:val="24"/>
          <w:szCs w:val="24"/>
        </w:rPr>
        <w:drawing>
          <wp:inline distT="0" distB="0" distL="0" distR="0">
            <wp:extent cx="4286250" cy="2657475"/>
            <wp:effectExtent l="0" t="0" r="0" b="0"/>
            <wp:docPr id="3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C4F68" w:rsidRDefault="009C4F68" w:rsidP="009C4F68">
      <w:pPr>
        <w:jc w:val="center"/>
        <w:rPr>
          <w:rFonts w:ascii="Arial" w:hAnsi="Arial" w:cs="Arial"/>
          <w:sz w:val="24"/>
          <w:szCs w:val="24"/>
        </w:rPr>
      </w:pPr>
      <w:r w:rsidRPr="009C4F68">
        <w:rPr>
          <w:rFonts w:ascii="Arial" w:hAnsi="Arial" w:cs="Arial"/>
          <w:noProof/>
          <w:sz w:val="24"/>
          <w:szCs w:val="24"/>
        </w:rPr>
        <w:drawing>
          <wp:inline distT="0" distB="0" distL="0" distR="0">
            <wp:extent cx="4286250" cy="2619375"/>
            <wp:effectExtent l="0" t="0" r="0" b="0"/>
            <wp:docPr id="3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D3484" w:rsidRDefault="009C4F68" w:rsidP="009C4F68">
      <w:pPr>
        <w:jc w:val="center"/>
        <w:rPr>
          <w:noProof/>
        </w:rPr>
      </w:pPr>
      <w:r w:rsidRPr="009C4F68">
        <w:rPr>
          <w:rFonts w:ascii="Arial" w:hAnsi="Arial" w:cs="Arial"/>
          <w:noProof/>
          <w:sz w:val="24"/>
          <w:szCs w:val="24"/>
        </w:rPr>
        <w:drawing>
          <wp:inline distT="0" distB="0" distL="0" distR="0">
            <wp:extent cx="4295775" cy="2505075"/>
            <wp:effectExtent l="0" t="0" r="0" b="0"/>
            <wp:docPr id="3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D3484" w:rsidRDefault="008D3484" w:rsidP="008D3484">
      <w:pPr>
        <w:jc w:val="center"/>
        <w:rPr>
          <w:rFonts w:ascii="Arial" w:hAnsi="Arial" w:cs="Arial"/>
          <w:sz w:val="24"/>
          <w:szCs w:val="24"/>
        </w:rPr>
      </w:pPr>
      <w:r w:rsidRPr="008D3484">
        <w:rPr>
          <w:rFonts w:ascii="Arial" w:hAnsi="Arial" w:cs="Arial"/>
          <w:noProof/>
          <w:sz w:val="24"/>
          <w:szCs w:val="24"/>
        </w:rPr>
        <w:drawing>
          <wp:inline distT="0" distB="0" distL="0" distR="0">
            <wp:extent cx="4333875" cy="2638425"/>
            <wp:effectExtent l="0" t="0" r="0" b="0"/>
            <wp:docPr id="4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D3484" w:rsidRDefault="008D3484" w:rsidP="008D3484">
      <w:pPr>
        <w:jc w:val="center"/>
        <w:rPr>
          <w:rFonts w:ascii="Arial" w:hAnsi="Arial" w:cs="Arial"/>
          <w:sz w:val="24"/>
          <w:szCs w:val="24"/>
        </w:rPr>
      </w:pPr>
      <w:r w:rsidRPr="008D3484">
        <w:rPr>
          <w:rFonts w:ascii="Arial" w:hAnsi="Arial" w:cs="Arial"/>
          <w:noProof/>
          <w:sz w:val="24"/>
          <w:szCs w:val="24"/>
        </w:rPr>
        <w:drawing>
          <wp:inline distT="0" distB="0" distL="0" distR="0">
            <wp:extent cx="4305300" cy="2524125"/>
            <wp:effectExtent l="0" t="0" r="0" b="0"/>
            <wp:docPr id="4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75A83" w:rsidRDefault="00575A83" w:rsidP="008D3484">
      <w:pPr>
        <w:jc w:val="center"/>
        <w:rPr>
          <w:rFonts w:ascii="Arial" w:hAnsi="Arial" w:cs="Arial"/>
          <w:sz w:val="24"/>
          <w:szCs w:val="24"/>
        </w:rPr>
      </w:pPr>
    </w:p>
    <w:p w:rsidR="009C4F68" w:rsidRDefault="00575A83" w:rsidP="009C4F68">
      <w:pPr>
        <w:jc w:val="center"/>
        <w:rPr>
          <w:rFonts w:ascii="Arial" w:hAnsi="Arial" w:cs="Arial"/>
          <w:sz w:val="24"/>
          <w:szCs w:val="24"/>
        </w:rPr>
      </w:pPr>
      <w:r w:rsidRPr="00575A83">
        <w:rPr>
          <w:rFonts w:ascii="Arial" w:hAnsi="Arial" w:cs="Arial"/>
          <w:noProof/>
          <w:sz w:val="24"/>
          <w:szCs w:val="24"/>
        </w:rPr>
        <w:drawing>
          <wp:inline distT="0" distB="0" distL="0" distR="0">
            <wp:extent cx="4252822" cy="2406770"/>
            <wp:effectExtent l="0" t="0" r="0" b="0"/>
            <wp:docPr id="9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E013E4" w:rsidRDefault="00E013E4" w:rsidP="009C4F68">
      <w:pPr>
        <w:jc w:val="center"/>
        <w:rPr>
          <w:rFonts w:ascii="Arial" w:hAnsi="Arial" w:cs="Arial"/>
          <w:sz w:val="24"/>
          <w:szCs w:val="24"/>
        </w:rPr>
      </w:pPr>
      <w:r w:rsidRPr="00E013E4">
        <w:rPr>
          <w:rFonts w:ascii="Arial" w:hAnsi="Arial" w:cs="Arial"/>
          <w:noProof/>
          <w:sz w:val="24"/>
          <w:szCs w:val="24"/>
        </w:rPr>
        <w:drawing>
          <wp:inline distT="0" distB="0" distL="0" distR="0">
            <wp:extent cx="4339087" cy="2536166"/>
            <wp:effectExtent l="0" t="0" r="0" b="0"/>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B722CE" w:rsidRDefault="00B722CE" w:rsidP="00E013E4">
      <w:pPr>
        <w:rPr>
          <w:rFonts w:ascii="Arial" w:hAnsi="Arial" w:cs="Arial"/>
          <w:sz w:val="24"/>
          <w:szCs w:val="24"/>
        </w:rPr>
      </w:pPr>
    </w:p>
    <w:p w:rsidR="008D3484" w:rsidRDefault="008D3484" w:rsidP="009C4F68">
      <w:pPr>
        <w:jc w:val="center"/>
        <w:rPr>
          <w:noProof/>
        </w:rPr>
      </w:pPr>
      <w:r w:rsidRPr="008D3484">
        <w:rPr>
          <w:rFonts w:ascii="Arial" w:hAnsi="Arial" w:cs="Arial"/>
          <w:noProof/>
          <w:sz w:val="24"/>
          <w:szCs w:val="24"/>
        </w:rPr>
        <w:drawing>
          <wp:inline distT="0" distB="0" distL="0" distR="0">
            <wp:extent cx="4324350" cy="2590800"/>
            <wp:effectExtent l="0" t="0" r="0" b="0"/>
            <wp:docPr id="4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8D3484" w:rsidRDefault="008D3484" w:rsidP="009C4F68">
      <w:pPr>
        <w:jc w:val="center"/>
        <w:rPr>
          <w:rFonts w:ascii="Arial" w:hAnsi="Arial" w:cs="Arial"/>
          <w:sz w:val="24"/>
          <w:szCs w:val="24"/>
        </w:rPr>
      </w:pPr>
      <w:r w:rsidRPr="008D3484">
        <w:rPr>
          <w:rFonts w:ascii="Arial" w:hAnsi="Arial" w:cs="Arial"/>
          <w:noProof/>
          <w:sz w:val="24"/>
          <w:szCs w:val="24"/>
        </w:rPr>
        <w:drawing>
          <wp:inline distT="0" distB="0" distL="0" distR="0">
            <wp:extent cx="4305300" cy="2562225"/>
            <wp:effectExtent l="0" t="0" r="0" b="0"/>
            <wp:docPr id="4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655904" w:rsidRDefault="00655904" w:rsidP="009C4F68">
      <w:pPr>
        <w:jc w:val="center"/>
        <w:rPr>
          <w:rFonts w:ascii="Arial" w:hAnsi="Arial" w:cs="Arial"/>
          <w:sz w:val="24"/>
          <w:szCs w:val="24"/>
        </w:rPr>
      </w:pPr>
      <w:r w:rsidRPr="00655904">
        <w:rPr>
          <w:rFonts w:ascii="Arial" w:hAnsi="Arial" w:cs="Arial"/>
          <w:noProof/>
          <w:sz w:val="24"/>
          <w:szCs w:val="24"/>
        </w:rPr>
        <w:drawing>
          <wp:inline distT="0" distB="0" distL="0" distR="0">
            <wp:extent cx="4295775" cy="2466975"/>
            <wp:effectExtent l="0" t="0" r="0" b="0"/>
            <wp:docPr id="46"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B006F1" w:rsidRDefault="00B006F1" w:rsidP="009C4F68">
      <w:pPr>
        <w:jc w:val="center"/>
        <w:rPr>
          <w:rFonts w:ascii="Arial" w:hAnsi="Arial" w:cs="Arial"/>
          <w:sz w:val="24"/>
          <w:szCs w:val="24"/>
        </w:rPr>
      </w:pPr>
      <w:r w:rsidRPr="00B006F1">
        <w:rPr>
          <w:rFonts w:ascii="Arial" w:hAnsi="Arial" w:cs="Arial"/>
          <w:noProof/>
          <w:sz w:val="24"/>
          <w:szCs w:val="24"/>
        </w:rPr>
        <w:drawing>
          <wp:inline distT="0" distB="0" distL="0" distR="0">
            <wp:extent cx="4295955" cy="2484408"/>
            <wp:effectExtent l="0" t="0" r="0" b="0"/>
            <wp:docPr id="4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B006F1" w:rsidRDefault="00B006F1" w:rsidP="009C4F68">
      <w:pPr>
        <w:jc w:val="center"/>
        <w:rPr>
          <w:rFonts w:ascii="Arial" w:hAnsi="Arial" w:cs="Arial"/>
          <w:sz w:val="24"/>
          <w:szCs w:val="24"/>
        </w:rPr>
      </w:pPr>
      <w:r w:rsidRPr="00B006F1">
        <w:rPr>
          <w:rFonts w:ascii="Arial" w:hAnsi="Arial" w:cs="Arial"/>
          <w:noProof/>
          <w:sz w:val="24"/>
          <w:szCs w:val="24"/>
        </w:rPr>
        <w:drawing>
          <wp:inline distT="0" distB="0" distL="0" distR="0">
            <wp:extent cx="4313207" cy="2536166"/>
            <wp:effectExtent l="0" t="0" r="0" b="0"/>
            <wp:docPr id="4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B006F1" w:rsidRDefault="00B006F1" w:rsidP="009C4F68">
      <w:pPr>
        <w:jc w:val="center"/>
        <w:rPr>
          <w:rFonts w:ascii="Arial" w:hAnsi="Arial" w:cs="Arial"/>
          <w:sz w:val="24"/>
          <w:szCs w:val="24"/>
        </w:rPr>
      </w:pPr>
      <w:r w:rsidRPr="00B006F1">
        <w:rPr>
          <w:rFonts w:ascii="Arial" w:hAnsi="Arial" w:cs="Arial"/>
          <w:noProof/>
          <w:sz w:val="24"/>
          <w:szCs w:val="24"/>
        </w:rPr>
        <w:drawing>
          <wp:inline distT="0" distB="0" distL="0" distR="0">
            <wp:extent cx="4572000" cy="2743200"/>
            <wp:effectExtent l="0" t="0" r="0" b="0"/>
            <wp:docPr id="4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B006F1" w:rsidRDefault="00B006F1" w:rsidP="009C4F68">
      <w:pPr>
        <w:jc w:val="center"/>
        <w:rPr>
          <w:rFonts w:ascii="Arial" w:hAnsi="Arial" w:cs="Arial"/>
          <w:sz w:val="24"/>
          <w:szCs w:val="24"/>
        </w:rPr>
      </w:pPr>
      <w:r w:rsidRPr="00B006F1">
        <w:rPr>
          <w:rFonts w:ascii="Arial" w:hAnsi="Arial" w:cs="Arial"/>
          <w:noProof/>
          <w:sz w:val="24"/>
          <w:szCs w:val="24"/>
        </w:rPr>
        <w:drawing>
          <wp:inline distT="0" distB="0" distL="0" distR="0">
            <wp:extent cx="4572000" cy="2743200"/>
            <wp:effectExtent l="0" t="0" r="0" b="0"/>
            <wp:docPr id="4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B006F1" w:rsidRDefault="00B006F1" w:rsidP="009C4F68">
      <w:pPr>
        <w:jc w:val="center"/>
        <w:rPr>
          <w:rFonts w:ascii="Arial" w:hAnsi="Arial" w:cs="Arial"/>
          <w:sz w:val="24"/>
          <w:szCs w:val="24"/>
        </w:rPr>
      </w:pPr>
      <w:r w:rsidRPr="00B006F1">
        <w:rPr>
          <w:rFonts w:ascii="Arial" w:hAnsi="Arial" w:cs="Arial"/>
          <w:noProof/>
          <w:sz w:val="24"/>
          <w:szCs w:val="24"/>
        </w:rPr>
        <w:drawing>
          <wp:inline distT="0" distB="0" distL="0" distR="0">
            <wp:extent cx="4572000" cy="2743200"/>
            <wp:effectExtent l="0" t="0" r="0" b="0"/>
            <wp:docPr id="5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B006F1" w:rsidRDefault="00B006F1" w:rsidP="009C4F68">
      <w:pPr>
        <w:jc w:val="center"/>
        <w:rPr>
          <w:rFonts w:ascii="Arial" w:hAnsi="Arial" w:cs="Arial"/>
          <w:sz w:val="24"/>
          <w:szCs w:val="24"/>
        </w:rPr>
      </w:pPr>
    </w:p>
    <w:p w:rsidR="00B006F1" w:rsidRPr="00865320" w:rsidRDefault="00865320" w:rsidP="00865320">
      <w:pPr>
        <w:pStyle w:val="ListParagraph"/>
        <w:numPr>
          <w:ilvl w:val="0"/>
          <w:numId w:val="4"/>
        </w:numPr>
        <w:rPr>
          <w:rFonts w:ascii="Arial" w:hAnsi="Arial" w:cs="Arial"/>
          <w:sz w:val="24"/>
          <w:szCs w:val="24"/>
        </w:rPr>
      </w:pPr>
      <w:r w:rsidRPr="00865320">
        <w:rPr>
          <w:rFonts w:ascii="Arial" w:hAnsi="Arial" w:cs="Arial"/>
          <w:sz w:val="24"/>
          <w:szCs w:val="24"/>
        </w:rPr>
        <w:t>There was insufficient data available to produce graphs to illustrate the success of Mixed White &amp; Black African learners.</w:t>
      </w:r>
    </w:p>
    <w:p w:rsidR="00865320" w:rsidRDefault="00865320" w:rsidP="00865320">
      <w:pPr>
        <w:rPr>
          <w:rFonts w:ascii="Arial" w:hAnsi="Arial" w:cs="Arial"/>
          <w:sz w:val="24"/>
          <w:szCs w:val="24"/>
        </w:rPr>
      </w:pPr>
      <w:r>
        <w:rPr>
          <w:rFonts w:ascii="Arial" w:hAnsi="Arial" w:cs="Arial"/>
          <w:sz w:val="24"/>
          <w:szCs w:val="24"/>
        </w:rPr>
        <w:t>When comparing the success of learners by ethnicity</w:t>
      </w:r>
      <w:r w:rsidR="007D44FC">
        <w:rPr>
          <w:rFonts w:ascii="Arial" w:hAnsi="Arial" w:cs="Arial"/>
          <w:sz w:val="24"/>
          <w:szCs w:val="24"/>
        </w:rPr>
        <w:t>,</w:t>
      </w:r>
      <w:r>
        <w:rPr>
          <w:rFonts w:ascii="Arial" w:hAnsi="Arial" w:cs="Arial"/>
          <w:sz w:val="24"/>
          <w:szCs w:val="24"/>
        </w:rPr>
        <w:t xml:space="preserve"> it is important to take into account the relatively low number of enrolments for groups other than those of white origin. It is difficult to draw any valid conclusions as the data is likely to be skewed. It is</w:t>
      </w:r>
      <w:r w:rsidR="007D44FC">
        <w:rPr>
          <w:rFonts w:ascii="Arial" w:hAnsi="Arial" w:cs="Arial"/>
          <w:sz w:val="24"/>
          <w:szCs w:val="24"/>
        </w:rPr>
        <w:t>,</w:t>
      </w:r>
      <w:r>
        <w:rPr>
          <w:rFonts w:ascii="Arial" w:hAnsi="Arial" w:cs="Arial"/>
          <w:sz w:val="24"/>
          <w:szCs w:val="24"/>
        </w:rPr>
        <w:t xml:space="preserve"> however</w:t>
      </w:r>
      <w:r w:rsidR="007D44FC">
        <w:rPr>
          <w:rFonts w:ascii="Arial" w:hAnsi="Arial" w:cs="Arial"/>
          <w:sz w:val="24"/>
          <w:szCs w:val="24"/>
        </w:rPr>
        <w:t>,</w:t>
      </w:r>
      <w:r>
        <w:rPr>
          <w:rFonts w:ascii="Arial" w:hAnsi="Arial" w:cs="Arial"/>
          <w:sz w:val="24"/>
          <w:szCs w:val="24"/>
        </w:rPr>
        <w:t xml:space="preserve"> possible to compare the success rates for males and females within each ethnic group. </w:t>
      </w:r>
    </w:p>
    <w:p w:rsidR="00865320" w:rsidRDefault="00865320" w:rsidP="00865320">
      <w:pPr>
        <w:rPr>
          <w:rFonts w:ascii="Arial" w:hAnsi="Arial" w:cs="Arial"/>
          <w:sz w:val="24"/>
          <w:szCs w:val="24"/>
        </w:rPr>
      </w:pPr>
    </w:p>
    <w:p w:rsidR="00B722CE" w:rsidRDefault="00B722CE" w:rsidP="00865320">
      <w:pPr>
        <w:rPr>
          <w:rFonts w:ascii="Arial" w:hAnsi="Arial" w:cs="Arial"/>
          <w:b/>
          <w:sz w:val="24"/>
          <w:szCs w:val="24"/>
        </w:rPr>
      </w:pPr>
    </w:p>
    <w:p w:rsidR="00E013E4" w:rsidRDefault="00E013E4" w:rsidP="00865320">
      <w:pPr>
        <w:rPr>
          <w:rFonts w:ascii="Arial" w:hAnsi="Arial" w:cs="Arial"/>
          <w:b/>
          <w:sz w:val="24"/>
          <w:szCs w:val="24"/>
        </w:rPr>
      </w:pPr>
    </w:p>
    <w:p w:rsidR="00E013E4" w:rsidRDefault="00E013E4" w:rsidP="00865320">
      <w:pPr>
        <w:rPr>
          <w:rFonts w:ascii="Arial" w:hAnsi="Arial" w:cs="Arial"/>
          <w:b/>
          <w:sz w:val="24"/>
          <w:szCs w:val="24"/>
        </w:rPr>
      </w:pPr>
    </w:p>
    <w:p w:rsidR="00E013E4" w:rsidRDefault="00E013E4" w:rsidP="00865320">
      <w:pPr>
        <w:rPr>
          <w:rFonts w:ascii="Arial" w:hAnsi="Arial" w:cs="Arial"/>
          <w:b/>
          <w:sz w:val="24"/>
          <w:szCs w:val="24"/>
        </w:rPr>
      </w:pPr>
    </w:p>
    <w:p w:rsidR="00E013E4" w:rsidRDefault="00E013E4" w:rsidP="00865320">
      <w:pPr>
        <w:rPr>
          <w:rFonts w:ascii="Arial" w:hAnsi="Arial" w:cs="Arial"/>
          <w:b/>
          <w:sz w:val="24"/>
          <w:szCs w:val="24"/>
        </w:rPr>
      </w:pPr>
    </w:p>
    <w:p w:rsidR="00E013E4" w:rsidRDefault="00E013E4" w:rsidP="00865320">
      <w:pPr>
        <w:rPr>
          <w:rFonts w:ascii="Arial" w:hAnsi="Arial" w:cs="Arial"/>
          <w:b/>
          <w:sz w:val="24"/>
          <w:szCs w:val="24"/>
        </w:rPr>
      </w:pPr>
    </w:p>
    <w:p w:rsidR="00E013E4" w:rsidRDefault="00E013E4" w:rsidP="00865320">
      <w:pPr>
        <w:rPr>
          <w:rFonts w:ascii="Arial" w:hAnsi="Arial" w:cs="Arial"/>
          <w:b/>
          <w:sz w:val="24"/>
          <w:szCs w:val="24"/>
        </w:rPr>
      </w:pPr>
    </w:p>
    <w:p w:rsidR="00E013E4" w:rsidRDefault="00E013E4" w:rsidP="00865320">
      <w:pPr>
        <w:rPr>
          <w:rFonts w:ascii="Arial" w:hAnsi="Arial" w:cs="Arial"/>
          <w:b/>
          <w:sz w:val="24"/>
          <w:szCs w:val="24"/>
        </w:rPr>
      </w:pPr>
    </w:p>
    <w:p w:rsidR="00E013E4" w:rsidRDefault="00E013E4" w:rsidP="00865320">
      <w:pPr>
        <w:rPr>
          <w:rFonts w:ascii="Arial" w:hAnsi="Arial" w:cs="Arial"/>
          <w:b/>
          <w:sz w:val="24"/>
          <w:szCs w:val="24"/>
        </w:rPr>
      </w:pPr>
    </w:p>
    <w:p w:rsidR="00E013E4" w:rsidRDefault="00E013E4" w:rsidP="00865320">
      <w:pPr>
        <w:rPr>
          <w:rFonts w:ascii="Arial" w:hAnsi="Arial" w:cs="Arial"/>
          <w:b/>
          <w:sz w:val="24"/>
          <w:szCs w:val="24"/>
        </w:rPr>
      </w:pPr>
    </w:p>
    <w:p w:rsidR="00E013E4" w:rsidRDefault="00E013E4" w:rsidP="00865320">
      <w:pPr>
        <w:rPr>
          <w:rFonts w:ascii="Arial" w:hAnsi="Arial" w:cs="Arial"/>
          <w:b/>
          <w:sz w:val="24"/>
          <w:szCs w:val="24"/>
        </w:rPr>
      </w:pPr>
    </w:p>
    <w:p w:rsidR="00E013E4" w:rsidRDefault="00E013E4" w:rsidP="00865320">
      <w:pPr>
        <w:rPr>
          <w:rFonts w:ascii="Arial" w:hAnsi="Arial" w:cs="Arial"/>
          <w:b/>
          <w:sz w:val="24"/>
          <w:szCs w:val="24"/>
        </w:rPr>
      </w:pPr>
    </w:p>
    <w:p w:rsidR="00E013E4" w:rsidRDefault="00E013E4" w:rsidP="00865320">
      <w:pPr>
        <w:rPr>
          <w:rFonts w:ascii="Arial" w:hAnsi="Arial" w:cs="Arial"/>
          <w:b/>
          <w:sz w:val="24"/>
          <w:szCs w:val="24"/>
        </w:rPr>
      </w:pPr>
    </w:p>
    <w:p w:rsidR="00E013E4" w:rsidRDefault="00E013E4" w:rsidP="00865320">
      <w:pPr>
        <w:rPr>
          <w:rFonts w:ascii="Arial" w:hAnsi="Arial" w:cs="Arial"/>
          <w:b/>
          <w:sz w:val="24"/>
          <w:szCs w:val="24"/>
        </w:rPr>
      </w:pPr>
    </w:p>
    <w:p w:rsidR="00E013E4" w:rsidRDefault="00E013E4" w:rsidP="00865320">
      <w:pPr>
        <w:rPr>
          <w:rFonts w:ascii="Arial" w:hAnsi="Arial" w:cs="Arial"/>
          <w:b/>
          <w:sz w:val="24"/>
          <w:szCs w:val="24"/>
        </w:rPr>
      </w:pPr>
    </w:p>
    <w:p w:rsidR="00E013E4" w:rsidRDefault="00E013E4" w:rsidP="00865320">
      <w:pPr>
        <w:rPr>
          <w:rFonts w:ascii="Arial" w:hAnsi="Arial" w:cs="Arial"/>
          <w:b/>
          <w:sz w:val="24"/>
          <w:szCs w:val="24"/>
        </w:rPr>
      </w:pPr>
    </w:p>
    <w:p w:rsidR="00E013E4" w:rsidRDefault="00E013E4" w:rsidP="00865320">
      <w:pPr>
        <w:rPr>
          <w:rFonts w:ascii="Arial" w:hAnsi="Arial" w:cs="Arial"/>
          <w:b/>
          <w:sz w:val="24"/>
          <w:szCs w:val="24"/>
        </w:rPr>
      </w:pPr>
    </w:p>
    <w:p w:rsidR="00E013E4" w:rsidRDefault="00E013E4" w:rsidP="00865320">
      <w:pPr>
        <w:rPr>
          <w:rFonts w:ascii="Arial" w:hAnsi="Arial" w:cs="Arial"/>
          <w:b/>
          <w:sz w:val="24"/>
          <w:szCs w:val="24"/>
        </w:rPr>
      </w:pPr>
    </w:p>
    <w:p w:rsidR="00E013E4" w:rsidRDefault="00E013E4" w:rsidP="00865320">
      <w:pPr>
        <w:rPr>
          <w:rFonts w:ascii="Arial" w:hAnsi="Arial" w:cs="Arial"/>
          <w:b/>
          <w:sz w:val="24"/>
          <w:szCs w:val="24"/>
        </w:rPr>
      </w:pPr>
    </w:p>
    <w:p w:rsidR="00B722CE" w:rsidRDefault="00B722CE" w:rsidP="00865320">
      <w:pPr>
        <w:rPr>
          <w:rFonts w:ascii="Arial" w:hAnsi="Arial" w:cs="Arial"/>
          <w:b/>
          <w:sz w:val="24"/>
          <w:szCs w:val="24"/>
        </w:rPr>
      </w:pPr>
    </w:p>
    <w:p w:rsidR="00865320" w:rsidRPr="00865320" w:rsidRDefault="004749C7" w:rsidP="00865320">
      <w:pPr>
        <w:rPr>
          <w:rFonts w:ascii="Arial" w:hAnsi="Arial" w:cs="Arial"/>
          <w:b/>
          <w:sz w:val="24"/>
          <w:szCs w:val="24"/>
        </w:rPr>
      </w:pPr>
      <w:r>
        <w:rPr>
          <w:rFonts w:ascii="Arial" w:hAnsi="Arial" w:cs="Arial"/>
          <w:b/>
          <w:sz w:val="24"/>
          <w:szCs w:val="24"/>
        </w:rPr>
        <w:t>Analysis of Data by D</w:t>
      </w:r>
      <w:r w:rsidR="00865320" w:rsidRPr="00865320">
        <w:rPr>
          <w:rFonts w:ascii="Arial" w:hAnsi="Arial" w:cs="Arial"/>
          <w:b/>
          <w:sz w:val="24"/>
          <w:szCs w:val="24"/>
        </w:rPr>
        <w:t>isability/</w:t>
      </w:r>
      <w:r>
        <w:rPr>
          <w:rFonts w:ascii="Arial" w:hAnsi="Arial" w:cs="Arial"/>
          <w:b/>
          <w:sz w:val="24"/>
          <w:szCs w:val="24"/>
        </w:rPr>
        <w:t>Learning D</w:t>
      </w:r>
      <w:r w:rsidR="00865320" w:rsidRPr="00865320">
        <w:rPr>
          <w:rFonts w:ascii="Arial" w:hAnsi="Arial" w:cs="Arial"/>
          <w:b/>
          <w:sz w:val="24"/>
          <w:szCs w:val="24"/>
        </w:rPr>
        <w:t>ifficulty</w:t>
      </w:r>
    </w:p>
    <w:p w:rsidR="00865320" w:rsidRDefault="00865320" w:rsidP="00865320">
      <w:pPr>
        <w:rPr>
          <w:rFonts w:ascii="Arial" w:hAnsi="Arial" w:cs="Arial"/>
          <w:sz w:val="24"/>
          <w:szCs w:val="24"/>
        </w:rPr>
      </w:pPr>
      <w:r>
        <w:rPr>
          <w:rFonts w:ascii="Arial" w:hAnsi="Arial" w:cs="Arial"/>
          <w:sz w:val="24"/>
          <w:szCs w:val="24"/>
        </w:rPr>
        <w:t>The retention, attainment and success of males and females were compared for learners with and without disability and/or learning difficulty.</w:t>
      </w:r>
    </w:p>
    <w:p w:rsidR="00AA02EE" w:rsidRDefault="00AA02EE" w:rsidP="00865320">
      <w:pPr>
        <w:rPr>
          <w:rFonts w:ascii="Arial" w:hAnsi="Arial" w:cs="Arial"/>
          <w:sz w:val="24"/>
          <w:szCs w:val="24"/>
        </w:rPr>
      </w:pPr>
      <w:r>
        <w:rPr>
          <w:rFonts w:ascii="Arial" w:hAnsi="Arial" w:cs="Arial"/>
          <w:sz w:val="24"/>
          <w:szCs w:val="24"/>
        </w:rPr>
        <w:t xml:space="preserve">The information available was provided by the learner on completion of their enrolment form. No data is available with regard to </w:t>
      </w:r>
      <w:r w:rsidR="007D44FC">
        <w:rPr>
          <w:rFonts w:ascii="Arial" w:hAnsi="Arial" w:cs="Arial"/>
          <w:sz w:val="24"/>
          <w:szCs w:val="24"/>
        </w:rPr>
        <w:t xml:space="preserve">the </w:t>
      </w:r>
      <w:r>
        <w:rPr>
          <w:rFonts w:ascii="Arial" w:hAnsi="Arial" w:cs="Arial"/>
          <w:sz w:val="24"/>
          <w:szCs w:val="24"/>
        </w:rPr>
        <w:t xml:space="preserve">nature of disability and/or learning difficulty. </w:t>
      </w:r>
    </w:p>
    <w:p w:rsidR="00530F63" w:rsidRDefault="00530F63" w:rsidP="00865320">
      <w:pPr>
        <w:rPr>
          <w:rFonts w:ascii="Arial" w:hAnsi="Arial" w:cs="Arial"/>
          <w:sz w:val="24"/>
          <w:szCs w:val="24"/>
        </w:rPr>
      </w:pPr>
    </w:p>
    <w:p w:rsidR="00865320" w:rsidRDefault="00865320" w:rsidP="00865320">
      <w:pPr>
        <w:rPr>
          <w:rFonts w:ascii="Arial" w:hAnsi="Arial" w:cs="Arial"/>
          <w:b/>
          <w:sz w:val="24"/>
          <w:szCs w:val="24"/>
        </w:rPr>
      </w:pPr>
      <w:r w:rsidRPr="00865320">
        <w:rPr>
          <w:rFonts w:ascii="Arial" w:hAnsi="Arial" w:cs="Arial"/>
          <w:b/>
          <w:sz w:val="24"/>
          <w:szCs w:val="24"/>
        </w:rPr>
        <w:t xml:space="preserve">2007-2008 </w:t>
      </w:r>
    </w:p>
    <w:tbl>
      <w:tblPr>
        <w:tblStyle w:val="TableGrid"/>
        <w:tblW w:w="0" w:type="auto"/>
        <w:tblLook w:val="04A0"/>
      </w:tblPr>
      <w:tblGrid>
        <w:gridCol w:w="2015"/>
        <w:gridCol w:w="2451"/>
        <w:gridCol w:w="2585"/>
        <w:gridCol w:w="2191"/>
      </w:tblGrid>
      <w:tr w:rsidR="00AA02EE" w:rsidTr="00AA02EE">
        <w:tc>
          <w:tcPr>
            <w:tcW w:w="2015" w:type="dxa"/>
            <w:shd w:val="clear" w:color="auto" w:fill="E5B8B7" w:themeFill="accent2" w:themeFillTint="66"/>
          </w:tcPr>
          <w:p w:rsidR="00AA02EE" w:rsidRDefault="00AA02EE" w:rsidP="00AA02EE">
            <w:pPr>
              <w:jc w:val="center"/>
              <w:rPr>
                <w:rFonts w:ascii="Arial" w:hAnsi="Arial" w:cs="Arial"/>
                <w:b/>
                <w:sz w:val="24"/>
                <w:szCs w:val="24"/>
              </w:rPr>
            </w:pPr>
          </w:p>
        </w:tc>
        <w:tc>
          <w:tcPr>
            <w:tcW w:w="2451" w:type="dxa"/>
            <w:shd w:val="clear" w:color="auto" w:fill="E5B8B7" w:themeFill="accent2" w:themeFillTint="66"/>
          </w:tcPr>
          <w:p w:rsidR="00AA02EE" w:rsidRDefault="00AA02EE" w:rsidP="00AA02EE">
            <w:pPr>
              <w:jc w:val="center"/>
              <w:rPr>
                <w:rFonts w:ascii="Arial" w:hAnsi="Arial" w:cs="Arial"/>
                <w:b/>
                <w:sz w:val="24"/>
                <w:szCs w:val="24"/>
              </w:rPr>
            </w:pPr>
            <w:r>
              <w:rPr>
                <w:rFonts w:ascii="Arial" w:hAnsi="Arial" w:cs="Arial"/>
                <w:b/>
                <w:sz w:val="24"/>
                <w:szCs w:val="24"/>
              </w:rPr>
              <w:t>With disability and/or learning difficulty</w:t>
            </w:r>
          </w:p>
        </w:tc>
        <w:tc>
          <w:tcPr>
            <w:tcW w:w="2585" w:type="dxa"/>
            <w:shd w:val="clear" w:color="auto" w:fill="E5B8B7" w:themeFill="accent2" w:themeFillTint="66"/>
          </w:tcPr>
          <w:p w:rsidR="00AA02EE" w:rsidRDefault="00AA02EE" w:rsidP="00AA02EE">
            <w:pPr>
              <w:jc w:val="center"/>
              <w:rPr>
                <w:rFonts w:ascii="Arial" w:hAnsi="Arial" w:cs="Arial"/>
                <w:b/>
                <w:sz w:val="24"/>
                <w:szCs w:val="24"/>
              </w:rPr>
            </w:pPr>
            <w:r>
              <w:rPr>
                <w:rFonts w:ascii="Arial" w:hAnsi="Arial" w:cs="Arial"/>
                <w:b/>
                <w:sz w:val="24"/>
                <w:szCs w:val="24"/>
              </w:rPr>
              <w:t>Without disability and/or learning difficulty</w:t>
            </w:r>
          </w:p>
        </w:tc>
        <w:tc>
          <w:tcPr>
            <w:tcW w:w="2191" w:type="dxa"/>
            <w:shd w:val="clear" w:color="auto" w:fill="E5B8B7" w:themeFill="accent2" w:themeFillTint="66"/>
          </w:tcPr>
          <w:p w:rsidR="00AA02EE" w:rsidRDefault="00AA02EE" w:rsidP="00AA02EE">
            <w:pPr>
              <w:jc w:val="center"/>
              <w:rPr>
                <w:rFonts w:ascii="Arial" w:hAnsi="Arial" w:cs="Arial"/>
                <w:b/>
                <w:sz w:val="24"/>
                <w:szCs w:val="24"/>
              </w:rPr>
            </w:pPr>
            <w:r>
              <w:rPr>
                <w:rFonts w:ascii="Arial" w:hAnsi="Arial" w:cs="Arial"/>
                <w:b/>
                <w:sz w:val="24"/>
                <w:szCs w:val="24"/>
              </w:rPr>
              <w:t>Total</w:t>
            </w:r>
          </w:p>
        </w:tc>
      </w:tr>
      <w:tr w:rsidR="00AA02EE" w:rsidTr="00AA02EE">
        <w:tc>
          <w:tcPr>
            <w:tcW w:w="2015" w:type="dxa"/>
            <w:shd w:val="clear" w:color="auto" w:fill="E5B8B7" w:themeFill="accent2" w:themeFillTint="66"/>
          </w:tcPr>
          <w:p w:rsidR="00AA02EE" w:rsidRDefault="00AA02EE" w:rsidP="00AA02EE">
            <w:pPr>
              <w:jc w:val="center"/>
              <w:rPr>
                <w:rFonts w:ascii="Arial" w:hAnsi="Arial" w:cs="Arial"/>
                <w:b/>
                <w:sz w:val="24"/>
                <w:szCs w:val="24"/>
              </w:rPr>
            </w:pPr>
          </w:p>
          <w:p w:rsidR="00AA02EE" w:rsidRDefault="00AA02EE" w:rsidP="00AA02EE">
            <w:pPr>
              <w:jc w:val="center"/>
              <w:rPr>
                <w:rFonts w:ascii="Arial" w:hAnsi="Arial" w:cs="Arial"/>
                <w:b/>
                <w:sz w:val="24"/>
                <w:szCs w:val="24"/>
              </w:rPr>
            </w:pPr>
            <w:r>
              <w:rPr>
                <w:rFonts w:ascii="Arial" w:hAnsi="Arial" w:cs="Arial"/>
                <w:b/>
                <w:sz w:val="24"/>
                <w:szCs w:val="24"/>
              </w:rPr>
              <w:t>Male Enrolments</w:t>
            </w:r>
          </w:p>
        </w:tc>
        <w:tc>
          <w:tcPr>
            <w:tcW w:w="2451" w:type="dxa"/>
          </w:tcPr>
          <w:p w:rsidR="00AA02EE" w:rsidRDefault="00AA02EE" w:rsidP="00AA02EE">
            <w:pPr>
              <w:jc w:val="center"/>
              <w:rPr>
                <w:rFonts w:ascii="Arial" w:hAnsi="Arial" w:cs="Arial"/>
                <w:b/>
                <w:sz w:val="24"/>
                <w:szCs w:val="24"/>
              </w:rPr>
            </w:pPr>
          </w:p>
          <w:p w:rsidR="00AA02EE" w:rsidRDefault="00AA02EE" w:rsidP="00AA02EE">
            <w:pPr>
              <w:jc w:val="center"/>
              <w:rPr>
                <w:rFonts w:ascii="Arial" w:hAnsi="Arial" w:cs="Arial"/>
                <w:b/>
                <w:sz w:val="24"/>
                <w:szCs w:val="24"/>
              </w:rPr>
            </w:pPr>
            <w:r>
              <w:rPr>
                <w:rFonts w:ascii="Arial" w:hAnsi="Arial" w:cs="Arial"/>
                <w:b/>
                <w:sz w:val="24"/>
                <w:szCs w:val="24"/>
              </w:rPr>
              <w:t>222 (2.0%)</w:t>
            </w:r>
          </w:p>
          <w:p w:rsidR="00AA02EE" w:rsidRDefault="00AA02EE" w:rsidP="00AA02EE">
            <w:pPr>
              <w:jc w:val="center"/>
              <w:rPr>
                <w:rFonts w:ascii="Arial" w:hAnsi="Arial" w:cs="Arial"/>
                <w:b/>
                <w:sz w:val="24"/>
                <w:szCs w:val="24"/>
              </w:rPr>
            </w:pPr>
          </w:p>
        </w:tc>
        <w:tc>
          <w:tcPr>
            <w:tcW w:w="2585" w:type="dxa"/>
          </w:tcPr>
          <w:p w:rsidR="00AA02EE" w:rsidRDefault="00AA02EE" w:rsidP="00AA02EE">
            <w:pPr>
              <w:jc w:val="center"/>
              <w:rPr>
                <w:rFonts w:ascii="Arial" w:hAnsi="Arial" w:cs="Arial"/>
                <w:b/>
                <w:sz w:val="24"/>
                <w:szCs w:val="24"/>
              </w:rPr>
            </w:pPr>
          </w:p>
          <w:p w:rsidR="00AA02EE" w:rsidRDefault="00AA02EE" w:rsidP="00AA02EE">
            <w:pPr>
              <w:jc w:val="center"/>
              <w:rPr>
                <w:rFonts w:ascii="Arial" w:hAnsi="Arial" w:cs="Arial"/>
                <w:b/>
                <w:sz w:val="24"/>
                <w:szCs w:val="24"/>
              </w:rPr>
            </w:pPr>
            <w:r>
              <w:rPr>
                <w:rFonts w:ascii="Arial" w:hAnsi="Arial" w:cs="Arial"/>
                <w:b/>
                <w:sz w:val="24"/>
                <w:szCs w:val="24"/>
              </w:rPr>
              <w:t>10</w:t>
            </w:r>
            <w:r w:rsidR="004749C7">
              <w:rPr>
                <w:rFonts w:ascii="Arial" w:hAnsi="Arial" w:cs="Arial"/>
                <w:b/>
                <w:sz w:val="24"/>
                <w:szCs w:val="24"/>
              </w:rPr>
              <w:t>,</w:t>
            </w:r>
            <w:r w:rsidR="00305B07">
              <w:rPr>
                <w:rFonts w:ascii="Arial" w:hAnsi="Arial" w:cs="Arial"/>
                <w:b/>
                <w:sz w:val="24"/>
                <w:szCs w:val="24"/>
              </w:rPr>
              <w:t>630</w:t>
            </w:r>
            <w:r>
              <w:rPr>
                <w:rFonts w:ascii="Arial" w:hAnsi="Arial" w:cs="Arial"/>
                <w:b/>
                <w:sz w:val="24"/>
                <w:szCs w:val="24"/>
              </w:rPr>
              <w:t xml:space="preserve"> (98.0%)</w:t>
            </w:r>
          </w:p>
        </w:tc>
        <w:tc>
          <w:tcPr>
            <w:tcW w:w="2191" w:type="dxa"/>
          </w:tcPr>
          <w:p w:rsidR="00AA02EE" w:rsidRDefault="00AA02EE" w:rsidP="00AA02EE">
            <w:pPr>
              <w:jc w:val="center"/>
              <w:rPr>
                <w:rFonts w:ascii="Arial" w:hAnsi="Arial" w:cs="Arial"/>
                <w:b/>
                <w:sz w:val="24"/>
                <w:szCs w:val="24"/>
              </w:rPr>
            </w:pPr>
          </w:p>
          <w:p w:rsidR="00AA02EE" w:rsidRDefault="00AA02EE" w:rsidP="00AA02EE">
            <w:pPr>
              <w:jc w:val="center"/>
              <w:rPr>
                <w:rFonts w:ascii="Arial" w:hAnsi="Arial" w:cs="Arial"/>
                <w:b/>
                <w:sz w:val="24"/>
                <w:szCs w:val="24"/>
              </w:rPr>
            </w:pPr>
            <w:r>
              <w:rPr>
                <w:rFonts w:ascii="Arial" w:hAnsi="Arial" w:cs="Arial"/>
                <w:b/>
                <w:sz w:val="24"/>
                <w:szCs w:val="24"/>
              </w:rPr>
              <w:t>10</w:t>
            </w:r>
            <w:r w:rsidR="004749C7">
              <w:rPr>
                <w:rFonts w:ascii="Arial" w:hAnsi="Arial" w:cs="Arial"/>
                <w:b/>
                <w:sz w:val="24"/>
                <w:szCs w:val="24"/>
              </w:rPr>
              <w:t>,</w:t>
            </w:r>
            <w:r>
              <w:rPr>
                <w:rFonts w:ascii="Arial" w:hAnsi="Arial" w:cs="Arial"/>
                <w:b/>
                <w:sz w:val="24"/>
                <w:szCs w:val="24"/>
              </w:rPr>
              <w:t>8</w:t>
            </w:r>
            <w:r w:rsidR="00305B07">
              <w:rPr>
                <w:rFonts w:ascii="Arial" w:hAnsi="Arial" w:cs="Arial"/>
                <w:b/>
                <w:sz w:val="24"/>
                <w:szCs w:val="24"/>
              </w:rPr>
              <w:t>52</w:t>
            </w:r>
          </w:p>
        </w:tc>
      </w:tr>
      <w:tr w:rsidR="00AA02EE" w:rsidTr="00AA02EE">
        <w:tc>
          <w:tcPr>
            <w:tcW w:w="2015" w:type="dxa"/>
            <w:shd w:val="clear" w:color="auto" w:fill="E5B8B7" w:themeFill="accent2" w:themeFillTint="66"/>
          </w:tcPr>
          <w:p w:rsidR="00AA02EE" w:rsidRDefault="00AA02EE" w:rsidP="00AA02EE">
            <w:pPr>
              <w:jc w:val="center"/>
              <w:rPr>
                <w:rFonts w:ascii="Arial" w:hAnsi="Arial" w:cs="Arial"/>
                <w:b/>
                <w:sz w:val="24"/>
                <w:szCs w:val="24"/>
              </w:rPr>
            </w:pPr>
          </w:p>
          <w:p w:rsidR="00AA02EE" w:rsidRDefault="00AA02EE" w:rsidP="00AA02EE">
            <w:pPr>
              <w:jc w:val="center"/>
              <w:rPr>
                <w:rFonts w:ascii="Arial" w:hAnsi="Arial" w:cs="Arial"/>
                <w:b/>
                <w:sz w:val="24"/>
                <w:szCs w:val="24"/>
              </w:rPr>
            </w:pPr>
            <w:r>
              <w:rPr>
                <w:rFonts w:ascii="Arial" w:hAnsi="Arial" w:cs="Arial"/>
                <w:b/>
                <w:sz w:val="24"/>
                <w:szCs w:val="24"/>
              </w:rPr>
              <w:t>Female Enrolments</w:t>
            </w:r>
          </w:p>
        </w:tc>
        <w:tc>
          <w:tcPr>
            <w:tcW w:w="2451" w:type="dxa"/>
          </w:tcPr>
          <w:p w:rsidR="00AA02EE" w:rsidRDefault="00AA02EE" w:rsidP="00AA02EE">
            <w:pPr>
              <w:jc w:val="center"/>
              <w:rPr>
                <w:rFonts w:ascii="Arial" w:hAnsi="Arial" w:cs="Arial"/>
                <w:b/>
                <w:sz w:val="24"/>
                <w:szCs w:val="24"/>
              </w:rPr>
            </w:pPr>
          </w:p>
          <w:p w:rsidR="00AA02EE" w:rsidRDefault="00AA02EE" w:rsidP="00AA02EE">
            <w:pPr>
              <w:jc w:val="center"/>
              <w:rPr>
                <w:rFonts w:ascii="Arial" w:hAnsi="Arial" w:cs="Arial"/>
                <w:b/>
                <w:sz w:val="24"/>
                <w:szCs w:val="24"/>
              </w:rPr>
            </w:pPr>
            <w:r>
              <w:rPr>
                <w:rFonts w:ascii="Arial" w:hAnsi="Arial" w:cs="Arial"/>
                <w:b/>
                <w:sz w:val="24"/>
                <w:szCs w:val="24"/>
              </w:rPr>
              <w:t>292 (2.6%)</w:t>
            </w:r>
          </w:p>
        </w:tc>
        <w:tc>
          <w:tcPr>
            <w:tcW w:w="2585" w:type="dxa"/>
          </w:tcPr>
          <w:p w:rsidR="00AA02EE" w:rsidRDefault="00AA02EE" w:rsidP="00AA02EE">
            <w:pPr>
              <w:jc w:val="center"/>
              <w:rPr>
                <w:rFonts w:ascii="Arial" w:hAnsi="Arial" w:cs="Arial"/>
                <w:b/>
                <w:sz w:val="24"/>
                <w:szCs w:val="24"/>
              </w:rPr>
            </w:pPr>
          </w:p>
          <w:p w:rsidR="00AA02EE" w:rsidRDefault="00AA02EE" w:rsidP="00AA02EE">
            <w:pPr>
              <w:jc w:val="center"/>
              <w:rPr>
                <w:rFonts w:ascii="Arial" w:hAnsi="Arial" w:cs="Arial"/>
                <w:b/>
                <w:sz w:val="24"/>
                <w:szCs w:val="24"/>
              </w:rPr>
            </w:pPr>
            <w:r>
              <w:rPr>
                <w:rFonts w:ascii="Arial" w:hAnsi="Arial" w:cs="Arial"/>
                <w:b/>
                <w:sz w:val="24"/>
                <w:szCs w:val="24"/>
              </w:rPr>
              <w:t>11</w:t>
            </w:r>
            <w:r w:rsidR="004749C7">
              <w:rPr>
                <w:rFonts w:ascii="Arial" w:hAnsi="Arial" w:cs="Arial"/>
                <w:b/>
                <w:sz w:val="24"/>
                <w:szCs w:val="24"/>
              </w:rPr>
              <w:t>,</w:t>
            </w:r>
            <w:r>
              <w:rPr>
                <w:rFonts w:ascii="Arial" w:hAnsi="Arial" w:cs="Arial"/>
                <w:b/>
                <w:sz w:val="24"/>
                <w:szCs w:val="24"/>
              </w:rPr>
              <w:t>045 (97.4%)</w:t>
            </w:r>
          </w:p>
        </w:tc>
        <w:tc>
          <w:tcPr>
            <w:tcW w:w="2191" w:type="dxa"/>
          </w:tcPr>
          <w:p w:rsidR="00AA02EE" w:rsidRDefault="00AA02EE" w:rsidP="00AA02EE">
            <w:pPr>
              <w:jc w:val="center"/>
              <w:rPr>
                <w:rFonts w:ascii="Arial" w:hAnsi="Arial" w:cs="Arial"/>
                <w:b/>
                <w:sz w:val="24"/>
                <w:szCs w:val="24"/>
              </w:rPr>
            </w:pPr>
          </w:p>
          <w:p w:rsidR="00AA02EE" w:rsidRDefault="00AA02EE" w:rsidP="00AA02EE">
            <w:pPr>
              <w:jc w:val="center"/>
              <w:rPr>
                <w:rFonts w:ascii="Arial" w:hAnsi="Arial" w:cs="Arial"/>
                <w:b/>
                <w:sz w:val="24"/>
                <w:szCs w:val="24"/>
              </w:rPr>
            </w:pPr>
            <w:r>
              <w:rPr>
                <w:rFonts w:ascii="Arial" w:hAnsi="Arial" w:cs="Arial"/>
                <w:b/>
                <w:sz w:val="24"/>
                <w:szCs w:val="24"/>
              </w:rPr>
              <w:t>11</w:t>
            </w:r>
            <w:r w:rsidR="004749C7">
              <w:rPr>
                <w:rFonts w:ascii="Arial" w:hAnsi="Arial" w:cs="Arial"/>
                <w:b/>
                <w:sz w:val="24"/>
                <w:szCs w:val="24"/>
              </w:rPr>
              <w:t>,</w:t>
            </w:r>
            <w:r>
              <w:rPr>
                <w:rFonts w:ascii="Arial" w:hAnsi="Arial" w:cs="Arial"/>
                <w:b/>
                <w:sz w:val="24"/>
                <w:szCs w:val="24"/>
              </w:rPr>
              <w:t>337</w:t>
            </w:r>
          </w:p>
        </w:tc>
      </w:tr>
      <w:tr w:rsidR="00AA02EE" w:rsidTr="00AA02EE">
        <w:tc>
          <w:tcPr>
            <w:tcW w:w="2015" w:type="dxa"/>
            <w:shd w:val="clear" w:color="auto" w:fill="E5B8B7" w:themeFill="accent2" w:themeFillTint="66"/>
          </w:tcPr>
          <w:p w:rsidR="00AA02EE" w:rsidRDefault="00AA02EE" w:rsidP="00AA02EE">
            <w:pPr>
              <w:jc w:val="center"/>
              <w:rPr>
                <w:rFonts w:ascii="Arial" w:hAnsi="Arial" w:cs="Arial"/>
                <w:b/>
                <w:sz w:val="24"/>
                <w:szCs w:val="24"/>
              </w:rPr>
            </w:pPr>
          </w:p>
          <w:p w:rsidR="00AA02EE" w:rsidRDefault="00AA02EE" w:rsidP="00AA02EE">
            <w:pPr>
              <w:jc w:val="center"/>
              <w:rPr>
                <w:rFonts w:ascii="Arial" w:hAnsi="Arial" w:cs="Arial"/>
                <w:b/>
                <w:sz w:val="24"/>
                <w:szCs w:val="24"/>
              </w:rPr>
            </w:pPr>
            <w:r>
              <w:rPr>
                <w:rFonts w:ascii="Arial" w:hAnsi="Arial" w:cs="Arial"/>
                <w:b/>
                <w:sz w:val="24"/>
                <w:szCs w:val="24"/>
              </w:rPr>
              <w:t>Total Enrolments</w:t>
            </w:r>
          </w:p>
          <w:p w:rsidR="00AA02EE" w:rsidRDefault="00AA02EE" w:rsidP="00AA02EE">
            <w:pPr>
              <w:jc w:val="center"/>
              <w:rPr>
                <w:rFonts w:ascii="Arial" w:hAnsi="Arial" w:cs="Arial"/>
                <w:b/>
                <w:sz w:val="24"/>
                <w:szCs w:val="24"/>
              </w:rPr>
            </w:pPr>
          </w:p>
        </w:tc>
        <w:tc>
          <w:tcPr>
            <w:tcW w:w="2451" w:type="dxa"/>
          </w:tcPr>
          <w:p w:rsidR="00AA02EE" w:rsidRDefault="00AA02EE" w:rsidP="00AA02EE">
            <w:pPr>
              <w:jc w:val="center"/>
              <w:rPr>
                <w:rFonts w:ascii="Arial" w:hAnsi="Arial" w:cs="Arial"/>
                <w:b/>
                <w:sz w:val="24"/>
                <w:szCs w:val="24"/>
              </w:rPr>
            </w:pPr>
          </w:p>
          <w:p w:rsidR="00AA02EE" w:rsidRDefault="00AA02EE" w:rsidP="00AA02EE">
            <w:pPr>
              <w:jc w:val="center"/>
              <w:rPr>
                <w:rFonts w:ascii="Arial" w:hAnsi="Arial" w:cs="Arial"/>
                <w:b/>
                <w:sz w:val="24"/>
                <w:szCs w:val="24"/>
              </w:rPr>
            </w:pPr>
            <w:r>
              <w:rPr>
                <w:rFonts w:ascii="Arial" w:hAnsi="Arial" w:cs="Arial"/>
                <w:b/>
                <w:sz w:val="24"/>
                <w:szCs w:val="24"/>
              </w:rPr>
              <w:t>514 (2.3%)</w:t>
            </w:r>
          </w:p>
        </w:tc>
        <w:tc>
          <w:tcPr>
            <w:tcW w:w="2585" w:type="dxa"/>
          </w:tcPr>
          <w:p w:rsidR="00AA02EE" w:rsidRDefault="00AA02EE" w:rsidP="00AA02EE">
            <w:pPr>
              <w:jc w:val="center"/>
              <w:rPr>
                <w:rFonts w:ascii="Arial" w:hAnsi="Arial" w:cs="Arial"/>
                <w:b/>
                <w:sz w:val="24"/>
                <w:szCs w:val="24"/>
              </w:rPr>
            </w:pPr>
          </w:p>
          <w:p w:rsidR="00AA02EE" w:rsidRDefault="00AA02EE" w:rsidP="00AA02EE">
            <w:pPr>
              <w:jc w:val="center"/>
              <w:rPr>
                <w:rFonts w:ascii="Arial" w:hAnsi="Arial" w:cs="Arial"/>
                <w:b/>
                <w:sz w:val="24"/>
                <w:szCs w:val="24"/>
              </w:rPr>
            </w:pPr>
            <w:r>
              <w:rPr>
                <w:rFonts w:ascii="Arial" w:hAnsi="Arial" w:cs="Arial"/>
                <w:b/>
                <w:sz w:val="24"/>
                <w:szCs w:val="24"/>
              </w:rPr>
              <w:t>21</w:t>
            </w:r>
            <w:r w:rsidR="004749C7">
              <w:rPr>
                <w:rFonts w:ascii="Arial" w:hAnsi="Arial" w:cs="Arial"/>
                <w:b/>
                <w:sz w:val="24"/>
                <w:szCs w:val="24"/>
              </w:rPr>
              <w:t>,</w:t>
            </w:r>
            <w:r w:rsidR="00305B07">
              <w:rPr>
                <w:rFonts w:ascii="Arial" w:hAnsi="Arial" w:cs="Arial"/>
                <w:b/>
                <w:sz w:val="24"/>
                <w:szCs w:val="24"/>
              </w:rPr>
              <w:t>675</w:t>
            </w:r>
            <w:r>
              <w:rPr>
                <w:rFonts w:ascii="Arial" w:hAnsi="Arial" w:cs="Arial"/>
                <w:b/>
                <w:sz w:val="24"/>
                <w:szCs w:val="24"/>
              </w:rPr>
              <w:t xml:space="preserve"> (97.7%)</w:t>
            </w:r>
          </w:p>
        </w:tc>
        <w:tc>
          <w:tcPr>
            <w:tcW w:w="2191" w:type="dxa"/>
          </w:tcPr>
          <w:p w:rsidR="00AA02EE" w:rsidRDefault="00AA02EE" w:rsidP="00AA02EE">
            <w:pPr>
              <w:jc w:val="center"/>
              <w:rPr>
                <w:rFonts w:ascii="Arial" w:hAnsi="Arial" w:cs="Arial"/>
                <w:b/>
                <w:sz w:val="24"/>
                <w:szCs w:val="24"/>
              </w:rPr>
            </w:pPr>
          </w:p>
          <w:p w:rsidR="00AA02EE" w:rsidRDefault="00AA02EE" w:rsidP="00AA02EE">
            <w:pPr>
              <w:jc w:val="center"/>
              <w:rPr>
                <w:rFonts w:ascii="Arial" w:hAnsi="Arial" w:cs="Arial"/>
                <w:b/>
                <w:sz w:val="24"/>
                <w:szCs w:val="24"/>
              </w:rPr>
            </w:pPr>
            <w:r>
              <w:rPr>
                <w:rFonts w:ascii="Arial" w:hAnsi="Arial" w:cs="Arial"/>
                <w:b/>
                <w:sz w:val="24"/>
                <w:szCs w:val="24"/>
              </w:rPr>
              <w:t>2</w:t>
            </w:r>
            <w:r w:rsidR="007D44FC">
              <w:rPr>
                <w:rFonts w:ascii="Arial" w:hAnsi="Arial" w:cs="Arial"/>
                <w:b/>
                <w:sz w:val="24"/>
                <w:szCs w:val="24"/>
              </w:rPr>
              <w:t>2,1</w:t>
            </w:r>
            <w:r w:rsidR="00305B07">
              <w:rPr>
                <w:rFonts w:ascii="Arial" w:hAnsi="Arial" w:cs="Arial"/>
                <w:b/>
                <w:sz w:val="24"/>
                <w:szCs w:val="24"/>
              </w:rPr>
              <w:t>89</w:t>
            </w:r>
          </w:p>
        </w:tc>
      </w:tr>
    </w:tbl>
    <w:p w:rsidR="00865320" w:rsidRPr="00865320" w:rsidRDefault="00865320" w:rsidP="00865320">
      <w:pPr>
        <w:rPr>
          <w:rFonts w:ascii="Arial" w:hAnsi="Arial" w:cs="Arial"/>
          <w:b/>
          <w:sz w:val="24"/>
          <w:szCs w:val="24"/>
        </w:rPr>
      </w:pPr>
    </w:p>
    <w:p w:rsidR="00865320" w:rsidRDefault="00AA02EE" w:rsidP="00865320">
      <w:pPr>
        <w:rPr>
          <w:rFonts w:ascii="Arial" w:hAnsi="Arial" w:cs="Arial"/>
          <w:sz w:val="24"/>
          <w:szCs w:val="24"/>
        </w:rPr>
      </w:pPr>
      <w:r>
        <w:rPr>
          <w:rFonts w:ascii="Arial" w:hAnsi="Arial" w:cs="Arial"/>
          <w:sz w:val="24"/>
          <w:szCs w:val="24"/>
        </w:rPr>
        <w:t>The following chart illustrates the percentage of learners in each school who considered themselves as having a disability and/or learning difficulty</w:t>
      </w:r>
      <w:r w:rsidR="00B722CE">
        <w:rPr>
          <w:rFonts w:ascii="Arial" w:hAnsi="Arial" w:cs="Arial"/>
          <w:sz w:val="24"/>
          <w:szCs w:val="24"/>
        </w:rPr>
        <w:t>:</w:t>
      </w:r>
    </w:p>
    <w:p w:rsidR="00B722CE" w:rsidRDefault="006D0AE2" w:rsidP="002D4F2A">
      <w:pPr>
        <w:jc w:val="center"/>
        <w:rPr>
          <w:rFonts w:ascii="Arial" w:hAnsi="Arial" w:cs="Arial"/>
          <w:sz w:val="24"/>
          <w:szCs w:val="24"/>
        </w:rPr>
      </w:pPr>
      <w:r w:rsidRPr="006D0AE2">
        <w:rPr>
          <w:rFonts w:ascii="Arial" w:hAnsi="Arial" w:cs="Arial"/>
          <w:noProof/>
          <w:sz w:val="24"/>
          <w:szCs w:val="24"/>
        </w:rPr>
        <w:drawing>
          <wp:inline distT="0" distB="0" distL="0" distR="0">
            <wp:extent cx="4572000" cy="2743200"/>
            <wp:effectExtent l="19050" t="0" r="0" b="0"/>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530F63" w:rsidRDefault="00530F63" w:rsidP="00530F63">
      <w:pPr>
        <w:jc w:val="center"/>
        <w:rPr>
          <w:rFonts w:ascii="Arial" w:hAnsi="Arial" w:cs="Arial"/>
          <w:sz w:val="24"/>
          <w:szCs w:val="24"/>
        </w:rPr>
      </w:pPr>
    </w:p>
    <w:p w:rsidR="00B006F1" w:rsidRDefault="008C477C" w:rsidP="00AA02EE">
      <w:pPr>
        <w:rPr>
          <w:rFonts w:ascii="Arial" w:hAnsi="Arial" w:cs="Arial"/>
          <w:sz w:val="24"/>
          <w:szCs w:val="24"/>
        </w:rPr>
      </w:pPr>
      <w:r>
        <w:rPr>
          <w:rFonts w:ascii="Arial" w:hAnsi="Arial" w:cs="Arial"/>
          <w:sz w:val="24"/>
          <w:szCs w:val="24"/>
        </w:rPr>
        <w:t>It</w:t>
      </w:r>
      <w:r w:rsidR="007D44FC">
        <w:rPr>
          <w:rFonts w:ascii="Arial" w:hAnsi="Arial" w:cs="Arial"/>
          <w:sz w:val="24"/>
          <w:szCs w:val="24"/>
        </w:rPr>
        <w:t xml:space="preserve"> can be seen that for 2007-2008</w:t>
      </w:r>
      <w:r>
        <w:rPr>
          <w:rFonts w:ascii="Arial" w:hAnsi="Arial" w:cs="Arial"/>
          <w:sz w:val="24"/>
          <w:szCs w:val="24"/>
        </w:rPr>
        <w:t xml:space="preserve"> the School of Pre</w:t>
      </w:r>
      <w:r w:rsidR="007D44FC">
        <w:rPr>
          <w:rFonts w:ascii="Arial" w:hAnsi="Arial" w:cs="Arial"/>
          <w:sz w:val="24"/>
          <w:szCs w:val="24"/>
        </w:rPr>
        <w:t>-</w:t>
      </w:r>
      <w:r>
        <w:rPr>
          <w:rFonts w:ascii="Arial" w:hAnsi="Arial" w:cs="Arial"/>
          <w:sz w:val="24"/>
          <w:szCs w:val="24"/>
        </w:rPr>
        <w:t xml:space="preserve">Vocational Studies had the highest percentage of learners with disability and /or learning difficulties. This comes as no surprise but it is closely followed by Adult Education (Franchise) and the School of Computing and Information Technology. </w:t>
      </w:r>
    </w:p>
    <w:p w:rsidR="00711041" w:rsidRDefault="00711041" w:rsidP="008C477C">
      <w:pPr>
        <w:rPr>
          <w:rFonts w:ascii="Arial" w:hAnsi="Arial" w:cs="Arial"/>
          <w:sz w:val="24"/>
          <w:szCs w:val="24"/>
        </w:rPr>
      </w:pPr>
      <w:r>
        <w:rPr>
          <w:rFonts w:ascii="Arial" w:hAnsi="Arial" w:cs="Arial"/>
          <w:sz w:val="24"/>
          <w:szCs w:val="24"/>
        </w:rPr>
        <w:t xml:space="preserve">The following chart </w:t>
      </w:r>
      <w:r w:rsidR="009A17DC">
        <w:rPr>
          <w:rFonts w:ascii="Arial" w:hAnsi="Arial" w:cs="Arial"/>
          <w:sz w:val="24"/>
          <w:szCs w:val="24"/>
        </w:rPr>
        <w:t>compares</w:t>
      </w:r>
      <w:r>
        <w:rPr>
          <w:rFonts w:ascii="Arial" w:hAnsi="Arial" w:cs="Arial"/>
          <w:sz w:val="24"/>
          <w:szCs w:val="24"/>
        </w:rPr>
        <w:t xml:space="preserve"> the retention, attainment and success of males with </w:t>
      </w:r>
      <w:r w:rsidR="009A17DC">
        <w:rPr>
          <w:rFonts w:ascii="Arial" w:hAnsi="Arial" w:cs="Arial"/>
          <w:sz w:val="24"/>
          <w:szCs w:val="24"/>
        </w:rPr>
        <w:t xml:space="preserve">and without </w:t>
      </w:r>
      <w:r>
        <w:rPr>
          <w:rFonts w:ascii="Arial" w:hAnsi="Arial" w:cs="Arial"/>
          <w:sz w:val="24"/>
          <w:szCs w:val="24"/>
        </w:rPr>
        <w:t>disabilities and/or learning difficulties:</w:t>
      </w:r>
    </w:p>
    <w:p w:rsidR="00B006F1" w:rsidRDefault="00B006F1" w:rsidP="008C477C">
      <w:pPr>
        <w:rPr>
          <w:rFonts w:ascii="Arial" w:hAnsi="Arial" w:cs="Arial"/>
          <w:sz w:val="24"/>
          <w:szCs w:val="24"/>
        </w:rPr>
      </w:pPr>
    </w:p>
    <w:p w:rsidR="00711041" w:rsidRDefault="00711041" w:rsidP="00711041">
      <w:pPr>
        <w:jc w:val="center"/>
        <w:rPr>
          <w:rFonts w:ascii="Arial" w:hAnsi="Arial" w:cs="Arial"/>
          <w:sz w:val="24"/>
          <w:szCs w:val="24"/>
        </w:rPr>
      </w:pPr>
      <w:r w:rsidRPr="00711041">
        <w:rPr>
          <w:rFonts w:ascii="Arial" w:hAnsi="Arial" w:cs="Arial"/>
          <w:noProof/>
          <w:sz w:val="24"/>
          <w:szCs w:val="24"/>
        </w:rPr>
        <w:drawing>
          <wp:inline distT="0" distB="0" distL="0" distR="0">
            <wp:extent cx="4666890" cy="2743200"/>
            <wp:effectExtent l="19050" t="0" r="360" b="0"/>
            <wp:docPr id="5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B722CE" w:rsidRDefault="00B722CE" w:rsidP="009A17DC">
      <w:pPr>
        <w:rPr>
          <w:rFonts w:ascii="Arial" w:hAnsi="Arial" w:cs="Arial"/>
          <w:sz w:val="24"/>
          <w:szCs w:val="24"/>
        </w:rPr>
      </w:pPr>
    </w:p>
    <w:p w:rsidR="009A17DC" w:rsidRDefault="009A17DC" w:rsidP="009A17DC">
      <w:pPr>
        <w:rPr>
          <w:rFonts w:ascii="Arial" w:hAnsi="Arial" w:cs="Arial"/>
          <w:sz w:val="24"/>
          <w:szCs w:val="24"/>
        </w:rPr>
      </w:pPr>
      <w:r>
        <w:rPr>
          <w:rFonts w:ascii="Arial" w:hAnsi="Arial" w:cs="Arial"/>
          <w:sz w:val="24"/>
          <w:szCs w:val="24"/>
        </w:rPr>
        <w:t>It can be seen that the retention for all male enrolments is approxim</w:t>
      </w:r>
      <w:r w:rsidR="001F2B0D">
        <w:rPr>
          <w:rFonts w:ascii="Arial" w:hAnsi="Arial" w:cs="Arial"/>
          <w:sz w:val="24"/>
          <w:szCs w:val="24"/>
        </w:rPr>
        <w:t>ately the same but males with</w:t>
      </w:r>
      <w:r>
        <w:rPr>
          <w:rFonts w:ascii="Arial" w:hAnsi="Arial" w:cs="Arial"/>
          <w:sz w:val="24"/>
          <w:szCs w:val="24"/>
        </w:rPr>
        <w:t xml:space="preserve"> learning difficulties and/or disabilities marginally do better in terms of attainment and hence success than those with</w:t>
      </w:r>
      <w:r w:rsidR="001F2B0D">
        <w:rPr>
          <w:rFonts w:ascii="Arial" w:hAnsi="Arial" w:cs="Arial"/>
          <w:sz w:val="24"/>
          <w:szCs w:val="24"/>
        </w:rPr>
        <w:t>out</w:t>
      </w:r>
      <w:r>
        <w:rPr>
          <w:rFonts w:ascii="Arial" w:hAnsi="Arial" w:cs="Arial"/>
          <w:sz w:val="24"/>
          <w:szCs w:val="24"/>
        </w:rPr>
        <w:t xml:space="preserve"> learning difficulties and/or disabilities. </w:t>
      </w:r>
    </w:p>
    <w:p w:rsidR="00530F63" w:rsidRDefault="00530F63" w:rsidP="008C477C">
      <w:pPr>
        <w:rPr>
          <w:rFonts w:ascii="Arial" w:hAnsi="Arial" w:cs="Arial"/>
          <w:sz w:val="24"/>
          <w:szCs w:val="24"/>
        </w:rPr>
      </w:pPr>
    </w:p>
    <w:p w:rsidR="00530F63" w:rsidRDefault="00530F63" w:rsidP="008C477C">
      <w:pPr>
        <w:rPr>
          <w:rFonts w:ascii="Arial" w:hAnsi="Arial" w:cs="Arial"/>
          <w:sz w:val="24"/>
          <w:szCs w:val="24"/>
        </w:rPr>
      </w:pPr>
    </w:p>
    <w:p w:rsidR="00530F63" w:rsidRDefault="00530F63" w:rsidP="008C477C">
      <w:pPr>
        <w:rPr>
          <w:rFonts w:ascii="Arial" w:hAnsi="Arial" w:cs="Arial"/>
          <w:sz w:val="24"/>
          <w:szCs w:val="24"/>
        </w:rPr>
      </w:pPr>
    </w:p>
    <w:p w:rsidR="00530F63" w:rsidRDefault="00530F63" w:rsidP="008C477C">
      <w:pPr>
        <w:rPr>
          <w:rFonts w:ascii="Arial" w:hAnsi="Arial" w:cs="Arial"/>
          <w:sz w:val="24"/>
          <w:szCs w:val="24"/>
        </w:rPr>
      </w:pPr>
    </w:p>
    <w:p w:rsidR="00530F63" w:rsidRDefault="00530F63" w:rsidP="008C477C">
      <w:pPr>
        <w:rPr>
          <w:rFonts w:ascii="Arial" w:hAnsi="Arial" w:cs="Arial"/>
          <w:sz w:val="24"/>
          <w:szCs w:val="24"/>
        </w:rPr>
      </w:pPr>
    </w:p>
    <w:p w:rsidR="00530F63" w:rsidRDefault="00530F63" w:rsidP="008C477C">
      <w:pPr>
        <w:rPr>
          <w:rFonts w:ascii="Arial" w:hAnsi="Arial" w:cs="Arial"/>
          <w:sz w:val="24"/>
          <w:szCs w:val="24"/>
        </w:rPr>
      </w:pPr>
    </w:p>
    <w:p w:rsidR="00530F63" w:rsidRDefault="00530F63" w:rsidP="008C477C">
      <w:pPr>
        <w:rPr>
          <w:rFonts w:ascii="Arial" w:hAnsi="Arial" w:cs="Arial"/>
          <w:sz w:val="24"/>
          <w:szCs w:val="24"/>
        </w:rPr>
      </w:pPr>
    </w:p>
    <w:p w:rsidR="00530F63" w:rsidRDefault="00530F63" w:rsidP="008C477C">
      <w:pPr>
        <w:rPr>
          <w:rFonts w:ascii="Arial" w:hAnsi="Arial" w:cs="Arial"/>
          <w:sz w:val="24"/>
          <w:szCs w:val="24"/>
        </w:rPr>
      </w:pPr>
    </w:p>
    <w:p w:rsidR="00711041" w:rsidRDefault="009A17DC" w:rsidP="008C477C">
      <w:pPr>
        <w:rPr>
          <w:rFonts w:ascii="Arial" w:hAnsi="Arial" w:cs="Arial"/>
          <w:sz w:val="24"/>
          <w:szCs w:val="24"/>
        </w:rPr>
      </w:pPr>
      <w:r>
        <w:rPr>
          <w:rFonts w:ascii="Arial" w:hAnsi="Arial" w:cs="Arial"/>
          <w:sz w:val="24"/>
          <w:szCs w:val="24"/>
        </w:rPr>
        <w:t>The following chart compares the retention, attainment and success of females with and without disabilitie</w:t>
      </w:r>
      <w:r w:rsidR="00530F63">
        <w:rPr>
          <w:rFonts w:ascii="Arial" w:hAnsi="Arial" w:cs="Arial"/>
          <w:sz w:val="24"/>
          <w:szCs w:val="24"/>
        </w:rPr>
        <w:t>s and/or learning difficulties:</w:t>
      </w:r>
    </w:p>
    <w:p w:rsidR="00530F63" w:rsidRDefault="00530F63" w:rsidP="008C477C">
      <w:pPr>
        <w:rPr>
          <w:rFonts w:ascii="Arial" w:hAnsi="Arial" w:cs="Arial"/>
          <w:sz w:val="24"/>
          <w:szCs w:val="24"/>
        </w:rPr>
      </w:pPr>
    </w:p>
    <w:p w:rsidR="00655904" w:rsidRDefault="009A17DC" w:rsidP="009C4F68">
      <w:pPr>
        <w:jc w:val="center"/>
        <w:rPr>
          <w:rFonts w:ascii="Arial" w:hAnsi="Arial" w:cs="Arial"/>
          <w:sz w:val="24"/>
          <w:szCs w:val="24"/>
        </w:rPr>
      </w:pPr>
      <w:r w:rsidRPr="009A17DC">
        <w:rPr>
          <w:rFonts w:ascii="Arial" w:hAnsi="Arial" w:cs="Arial"/>
          <w:noProof/>
          <w:sz w:val="24"/>
          <w:szCs w:val="24"/>
        </w:rPr>
        <w:drawing>
          <wp:inline distT="0" distB="0" distL="0" distR="0">
            <wp:extent cx="4692770" cy="2803584"/>
            <wp:effectExtent l="19050" t="0" r="0" b="0"/>
            <wp:docPr id="5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530F63" w:rsidRDefault="00530F63" w:rsidP="009A17DC">
      <w:pPr>
        <w:rPr>
          <w:rFonts w:ascii="Arial" w:hAnsi="Arial" w:cs="Arial"/>
          <w:sz w:val="24"/>
          <w:szCs w:val="24"/>
        </w:rPr>
      </w:pPr>
    </w:p>
    <w:p w:rsidR="00530F63" w:rsidRDefault="009A17DC" w:rsidP="009A17DC">
      <w:pPr>
        <w:rPr>
          <w:rFonts w:ascii="Arial" w:hAnsi="Arial" w:cs="Arial"/>
          <w:b/>
          <w:sz w:val="24"/>
          <w:szCs w:val="24"/>
        </w:rPr>
      </w:pPr>
      <w:r>
        <w:rPr>
          <w:rFonts w:ascii="Arial" w:hAnsi="Arial" w:cs="Arial"/>
          <w:sz w:val="24"/>
          <w:szCs w:val="24"/>
        </w:rPr>
        <w:t xml:space="preserve">It can be seen that the retention for all female enrolments is approximately the same but females with learning difficulties and/or disabilities marginally do better in terms of attainment and hence success than those without learning difficulties and/or disabilities. </w:t>
      </w:r>
    </w:p>
    <w:p w:rsidR="009A17DC" w:rsidRPr="00E72FDA" w:rsidRDefault="00E72FDA" w:rsidP="009A17DC">
      <w:pPr>
        <w:rPr>
          <w:rFonts w:ascii="Arial" w:hAnsi="Arial" w:cs="Arial"/>
          <w:b/>
          <w:sz w:val="24"/>
          <w:szCs w:val="24"/>
        </w:rPr>
      </w:pPr>
      <w:r w:rsidRPr="00E72FDA">
        <w:rPr>
          <w:rFonts w:ascii="Arial" w:hAnsi="Arial" w:cs="Arial"/>
          <w:b/>
          <w:sz w:val="24"/>
          <w:szCs w:val="24"/>
        </w:rPr>
        <w:t>2008-2009</w:t>
      </w:r>
    </w:p>
    <w:tbl>
      <w:tblPr>
        <w:tblStyle w:val="TableGrid"/>
        <w:tblW w:w="0" w:type="auto"/>
        <w:tblLook w:val="04A0"/>
      </w:tblPr>
      <w:tblGrid>
        <w:gridCol w:w="2015"/>
        <w:gridCol w:w="2451"/>
        <w:gridCol w:w="2585"/>
        <w:gridCol w:w="2191"/>
      </w:tblGrid>
      <w:tr w:rsidR="00E72FDA" w:rsidTr="008E64C1">
        <w:tc>
          <w:tcPr>
            <w:tcW w:w="2015" w:type="dxa"/>
            <w:shd w:val="clear" w:color="auto" w:fill="E5B8B7" w:themeFill="accent2" w:themeFillTint="66"/>
          </w:tcPr>
          <w:p w:rsidR="00E72FDA" w:rsidRDefault="00E72FDA" w:rsidP="008E64C1">
            <w:pPr>
              <w:jc w:val="center"/>
              <w:rPr>
                <w:rFonts w:ascii="Arial" w:hAnsi="Arial" w:cs="Arial"/>
                <w:b/>
                <w:sz w:val="24"/>
                <w:szCs w:val="24"/>
              </w:rPr>
            </w:pPr>
          </w:p>
        </w:tc>
        <w:tc>
          <w:tcPr>
            <w:tcW w:w="2451" w:type="dxa"/>
            <w:shd w:val="clear" w:color="auto" w:fill="E5B8B7" w:themeFill="accent2" w:themeFillTint="66"/>
          </w:tcPr>
          <w:p w:rsidR="00E72FDA" w:rsidRDefault="00E72FDA" w:rsidP="008E64C1">
            <w:pPr>
              <w:jc w:val="center"/>
              <w:rPr>
                <w:rFonts w:ascii="Arial" w:hAnsi="Arial" w:cs="Arial"/>
                <w:b/>
                <w:sz w:val="24"/>
                <w:szCs w:val="24"/>
              </w:rPr>
            </w:pPr>
            <w:r>
              <w:rPr>
                <w:rFonts w:ascii="Arial" w:hAnsi="Arial" w:cs="Arial"/>
                <w:b/>
                <w:sz w:val="24"/>
                <w:szCs w:val="24"/>
              </w:rPr>
              <w:t>With disability and/or learning difficulty</w:t>
            </w:r>
          </w:p>
        </w:tc>
        <w:tc>
          <w:tcPr>
            <w:tcW w:w="2585" w:type="dxa"/>
            <w:shd w:val="clear" w:color="auto" w:fill="E5B8B7" w:themeFill="accent2" w:themeFillTint="66"/>
          </w:tcPr>
          <w:p w:rsidR="00E72FDA" w:rsidRDefault="00E72FDA" w:rsidP="008E64C1">
            <w:pPr>
              <w:jc w:val="center"/>
              <w:rPr>
                <w:rFonts w:ascii="Arial" w:hAnsi="Arial" w:cs="Arial"/>
                <w:b/>
                <w:sz w:val="24"/>
                <w:szCs w:val="24"/>
              </w:rPr>
            </w:pPr>
            <w:r>
              <w:rPr>
                <w:rFonts w:ascii="Arial" w:hAnsi="Arial" w:cs="Arial"/>
                <w:b/>
                <w:sz w:val="24"/>
                <w:szCs w:val="24"/>
              </w:rPr>
              <w:t>Without disability and/or learning difficulty</w:t>
            </w:r>
          </w:p>
        </w:tc>
        <w:tc>
          <w:tcPr>
            <w:tcW w:w="2191" w:type="dxa"/>
            <w:shd w:val="clear" w:color="auto" w:fill="E5B8B7" w:themeFill="accent2" w:themeFillTint="66"/>
          </w:tcPr>
          <w:p w:rsidR="00E72FDA" w:rsidRDefault="00E72FDA" w:rsidP="008E64C1">
            <w:pPr>
              <w:jc w:val="center"/>
              <w:rPr>
                <w:rFonts w:ascii="Arial" w:hAnsi="Arial" w:cs="Arial"/>
                <w:b/>
                <w:sz w:val="24"/>
                <w:szCs w:val="24"/>
              </w:rPr>
            </w:pPr>
            <w:r>
              <w:rPr>
                <w:rFonts w:ascii="Arial" w:hAnsi="Arial" w:cs="Arial"/>
                <w:b/>
                <w:sz w:val="24"/>
                <w:szCs w:val="24"/>
              </w:rPr>
              <w:t>Total</w:t>
            </w:r>
          </w:p>
        </w:tc>
      </w:tr>
      <w:tr w:rsidR="00E72FDA" w:rsidTr="008E64C1">
        <w:tc>
          <w:tcPr>
            <w:tcW w:w="2015" w:type="dxa"/>
            <w:shd w:val="clear" w:color="auto" w:fill="E5B8B7" w:themeFill="accent2" w:themeFillTint="66"/>
          </w:tcPr>
          <w:p w:rsidR="00E72FDA" w:rsidRDefault="00E72FDA" w:rsidP="008E64C1">
            <w:pPr>
              <w:jc w:val="center"/>
              <w:rPr>
                <w:rFonts w:ascii="Arial" w:hAnsi="Arial" w:cs="Arial"/>
                <w:b/>
                <w:sz w:val="24"/>
                <w:szCs w:val="24"/>
              </w:rPr>
            </w:pPr>
          </w:p>
          <w:p w:rsidR="00E72FDA" w:rsidRDefault="00E72FDA" w:rsidP="008E64C1">
            <w:pPr>
              <w:jc w:val="center"/>
              <w:rPr>
                <w:rFonts w:ascii="Arial" w:hAnsi="Arial" w:cs="Arial"/>
                <w:b/>
                <w:sz w:val="24"/>
                <w:szCs w:val="24"/>
              </w:rPr>
            </w:pPr>
            <w:r>
              <w:rPr>
                <w:rFonts w:ascii="Arial" w:hAnsi="Arial" w:cs="Arial"/>
                <w:b/>
                <w:sz w:val="24"/>
                <w:szCs w:val="24"/>
              </w:rPr>
              <w:t>Male Enrolments</w:t>
            </w:r>
          </w:p>
        </w:tc>
        <w:tc>
          <w:tcPr>
            <w:tcW w:w="2451" w:type="dxa"/>
          </w:tcPr>
          <w:p w:rsidR="00E72FDA" w:rsidRDefault="00E72FDA" w:rsidP="008E64C1">
            <w:pPr>
              <w:jc w:val="center"/>
              <w:rPr>
                <w:rFonts w:ascii="Arial" w:hAnsi="Arial" w:cs="Arial"/>
                <w:b/>
                <w:sz w:val="24"/>
                <w:szCs w:val="24"/>
              </w:rPr>
            </w:pPr>
          </w:p>
          <w:p w:rsidR="00E72FDA" w:rsidRDefault="00E72FDA" w:rsidP="008E64C1">
            <w:pPr>
              <w:jc w:val="center"/>
              <w:rPr>
                <w:rFonts w:ascii="Arial" w:hAnsi="Arial" w:cs="Arial"/>
                <w:b/>
                <w:sz w:val="24"/>
                <w:szCs w:val="24"/>
              </w:rPr>
            </w:pPr>
            <w:r>
              <w:rPr>
                <w:rFonts w:ascii="Arial" w:hAnsi="Arial" w:cs="Arial"/>
                <w:b/>
                <w:sz w:val="24"/>
                <w:szCs w:val="24"/>
              </w:rPr>
              <w:t>797 (7.4%)</w:t>
            </w:r>
          </w:p>
          <w:p w:rsidR="00E72FDA" w:rsidRDefault="00E72FDA" w:rsidP="008E64C1">
            <w:pPr>
              <w:jc w:val="center"/>
              <w:rPr>
                <w:rFonts w:ascii="Arial" w:hAnsi="Arial" w:cs="Arial"/>
                <w:b/>
                <w:sz w:val="24"/>
                <w:szCs w:val="24"/>
              </w:rPr>
            </w:pPr>
          </w:p>
        </w:tc>
        <w:tc>
          <w:tcPr>
            <w:tcW w:w="2585" w:type="dxa"/>
          </w:tcPr>
          <w:p w:rsidR="00E72FDA" w:rsidRDefault="00E72FDA" w:rsidP="008E64C1">
            <w:pPr>
              <w:jc w:val="center"/>
              <w:rPr>
                <w:rFonts w:ascii="Arial" w:hAnsi="Arial" w:cs="Arial"/>
                <w:b/>
                <w:sz w:val="24"/>
                <w:szCs w:val="24"/>
              </w:rPr>
            </w:pPr>
          </w:p>
          <w:p w:rsidR="00E72FDA" w:rsidRDefault="00E72FDA" w:rsidP="008E64C1">
            <w:pPr>
              <w:jc w:val="center"/>
              <w:rPr>
                <w:rFonts w:ascii="Arial" w:hAnsi="Arial" w:cs="Arial"/>
                <w:b/>
                <w:sz w:val="24"/>
                <w:szCs w:val="24"/>
              </w:rPr>
            </w:pPr>
            <w:r>
              <w:rPr>
                <w:rFonts w:ascii="Arial" w:hAnsi="Arial" w:cs="Arial"/>
                <w:b/>
                <w:sz w:val="24"/>
                <w:szCs w:val="24"/>
              </w:rPr>
              <w:t>10</w:t>
            </w:r>
            <w:r w:rsidR="007D44FC">
              <w:rPr>
                <w:rFonts w:ascii="Arial" w:hAnsi="Arial" w:cs="Arial"/>
                <w:b/>
                <w:sz w:val="24"/>
                <w:szCs w:val="24"/>
              </w:rPr>
              <w:t>,</w:t>
            </w:r>
            <w:r>
              <w:rPr>
                <w:rFonts w:ascii="Arial" w:hAnsi="Arial" w:cs="Arial"/>
                <w:b/>
                <w:sz w:val="24"/>
                <w:szCs w:val="24"/>
              </w:rPr>
              <w:t>019 (92.6%)</w:t>
            </w:r>
          </w:p>
        </w:tc>
        <w:tc>
          <w:tcPr>
            <w:tcW w:w="2191" w:type="dxa"/>
          </w:tcPr>
          <w:p w:rsidR="00E72FDA" w:rsidRDefault="00E72FDA" w:rsidP="008E64C1">
            <w:pPr>
              <w:jc w:val="center"/>
              <w:rPr>
                <w:rFonts w:ascii="Arial" w:hAnsi="Arial" w:cs="Arial"/>
                <w:b/>
                <w:sz w:val="24"/>
                <w:szCs w:val="24"/>
              </w:rPr>
            </w:pPr>
          </w:p>
          <w:p w:rsidR="00E72FDA" w:rsidRDefault="00E72FDA" w:rsidP="008E64C1">
            <w:pPr>
              <w:jc w:val="center"/>
              <w:rPr>
                <w:rFonts w:ascii="Arial" w:hAnsi="Arial" w:cs="Arial"/>
                <w:b/>
                <w:sz w:val="24"/>
                <w:szCs w:val="24"/>
              </w:rPr>
            </w:pPr>
            <w:r>
              <w:rPr>
                <w:rFonts w:ascii="Arial" w:hAnsi="Arial" w:cs="Arial"/>
                <w:b/>
                <w:sz w:val="24"/>
                <w:szCs w:val="24"/>
              </w:rPr>
              <w:t>10</w:t>
            </w:r>
            <w:r w:rsidR="007D44FC">
              <w:rPr>
                <w:rFonts w:ascii="Arial" w:hAnsi="Arial" w:cs="Arial"/>
                <w:b/>
                <w:sz w:val="24"/>
                <w:szCs w:val="24"/>
              </w:rPr>
              <w:t>,</w:t>
            </w:r>
            <w:r>
              <w:rPr>
                <w:rFonts w:ascii="Arial" w:hAnsi="Arial" w:cs="Arial"/>
                <w:b/>
                <w:sz w:val="24"/>
                <w:szCs w:val="24"/>
              </w:rPr>
              <w:t>816</w:t>
            </w:r>
          </w:p>
        </w:tc>
      </w:tr>
      <w:tr w:rsidR="00E72FDA" w:rsidTr="008E64C1">
        <w:tc>
          <w:tcPr>
            <w:tcW w:w="2015" w:type="dxa"/>
            <w:shd w:val="clear" w:color="auto" w:fill="E5B8B7" w:themeFill="accent2" w:themeFillTint="66"/>
          </w:tcPr>
          <w:p w:rsidR="00E72FDA" w:rsidRDefault="00E72FDA" w:rsidP="008E64C1">
            <w:pPr>
              <w:jc w:val="center"/>
              <w:rPr>
                <w:rFonts w:ascii="Arial" w:hAnsi="Arial" w:cs="Arial"/>
                <w:b/>
                <w:sz w:val="24"/>
                <w:szCs w:val="24"/>
              </w:rPr>
            </w:pPr>
          </w:p>
          <w:p w:rsidR="00E72FDA" w:rsidRDefault="00E72FDA" w:rsidP="008E64C1">
            <w:pPr>
              <w:jc w:val="center"/>
              <w:rPr>
                <w:rFonts w:ascii="Arial" w:hAnsi="Arial" w:cs="Arial"/>
                <w:b/>
                <w:sz w:val="24"/>
                <w:szCs w:val="24"/>
              </w:rPr>
            </w:pPr>
            <w:r>
              <w:rPr>
                <w:rFonts w:ascii="Arial" w:hAnsi="Arial" w:cs="Arial"/>
                <w:b/>
                <w:sz w:val="24"/>
                <w:szCs w:val="24"/>
              </w:rPr>
              <w:t>Female Enrolments</w:t>
            </w:r>
          </w:p>
        </w:tc>
        <w:tc>
          <w:tcPr>
            <w:tcW w:w="2451" w:type="dxa"/>
          </w:tcPr>
          <w:p w:rsidR="00E72FDA" w:rsidRDefault="00E72FDA" w:rsidP="008E64C1">
            <w:pPr>
              <w:jc w:val="center"/>
              <w:rPr>
                <w:rFonts w:ascii="Arial" w:hAnsi="Arial" w:cs="Arial"/>
                <w:b/>
                <w:sz w:val="24"/>
                <w:szCs w:val="24"/>
              </w:rPr>
            </w:pPr>
          </w:p>
          <w:p w:rsidR="00E72FDA" w:rsidRDefault="00E72FDA" w:rsidP="008E64C1">
            <w:pPr>
              <w:jc w:val="center"/>
              <w:rPr>
                <w:rFonts w:ascii="Arial" w:hAnsi="Arial" w:cs="Arial"/>
                <w:b/>
                <w:sz w:val="24"/>
                <w:szCs w:val="24"/>
              </w:rPr>
            </w:pPr>
            <w:r>
              <w:rPr>
                <w:rFonts w:ascii="Arial" w:hAnsi="Arial" w:cs="Arial"/>
                <w:b/>
                <w:sz w:val="24"/>
                <w:szCs w:val="24"/>
              </w:rPr>
              <w:t>888 (8.0%)</w:t>
            </w:r>
          </w:p>
        </w:tc>
        <w:tc>
          <w:tcPr>
            <w:tcW w:w="2585" w:type="dxa"/>
          </w:tcPr>
          <w:p w:rsidR="00E72FDA" w:rsidRDefault="00E72FDA" w:rsidP="008E64C1">
            <w:pPr>
              <w:jc w:val="center"/>
              <w:rPr>
                <w:rFonts w:ascii="Arial" w:hAnsi="Arial" w:cs="Arial"/>
                <w:b/>
                <w:sz w:val="24"/>
                <w:szCs w:val="24"/>
              </w:rPr>
            </w:pPr>
          </w:p>
          <w:p w:rsidR="00E72FDA" w:rsidRDefault="00E72FDA" w:rsidP="008E64C1">
            <w:pPr>
              <w:jc w:val="center"/>
              <w:rPr>
                <w:rFonts w:ascii="Arial" w:hAnsi="Arial" w:cs="Arial"/>
                <w:b/>
                <w:sz w:val="24"/>
                <w:szCs w:val="24"/>
              </w:rPr>
            </w:pPr>
            <w:r>
              <w:rPr>
                <w:rFonts w:ascii="Arial" w:hAnsi="Arial" w:cs="Arial"/>
                <w:b/>
                <w:sz w:val="24"/>
                <w:szCs w:val="24"/>
              </w:rPr>
              <w:t>10</w:t>
            </w:r>
            <w:r w:rsidR="007D44FC">
              <w:rPr>
                <w:rFonts w:ascii="Arial" w:hAnsi="Arial" w:cs="Arial"/>
                <w:b/>
                <w:sz w:val="24"/>
                <w:szCs w:val="24"/>
              </w:rPr>
              <w:t>,</w:t>
            </w:r>
            <w:r>
              <w:rPr>
                <w:rFonts w:ascii="Arial" w:hAnsi="Arial" w:cs="Arial"/>
                <w:b/>
                <w:sz w:val="24"/>
                <w:szCs w:val="24"/>
              </w:rPr>
              <w:t>258 (92.0%)</w:t>
            </w:r>
          </w:p>
        </w:tc>
        <w:tc>
          <w:tcPr>
            <w:tcW w:w="2191" w:type="dxa"/>
          </w:tcPr>
          <w:p w:rsidR="00E72FDA" w:rsidRDefault="00E72FDA" w:rsidP="008E64C1">
            <w:pPr>
              <w:jc w:val="center"/>
              <w:rPr>
                <w:rFonts w:ascii="Arial" w:hAnsi="Arial" w:cs="Arial"/>
                <w:b/>
                <w:sz w:val="24"/>
                <w:szCs w:val="24"/>
              </w:rPr>
            </w:pPr>
          </w:p>
          <w:p w:rsidR="00E72FDA" w:rsidRDefault="00E72FDA" w:rsidP="008E64C1">
            <w:pPr>
              <w:jc w:val="center"/>
              <w:rPr>
                <w:rFonts w:ascii="Arial" w:hAnsi="Arial" w:cs="Arial"/>
                <w:b/>
                <w:sz w:val="24"/>
                <w:szCs w:val="24"/>
              </w:rPr>
            </w:pPr>
            <w:r>
              <w:rPr>
                <w:rFonts w:ascii="Arial" w:hAnsi="Arial" w:cs="Arial"/>
                <w:b/>
                <w:sz w:val="24"/>
                <w:szCs w:val="24"/>
              </w:rPr>
              <w:t>11</w:t>
            </w:r>
            <w:r w:rsidR="007D44FC">
              <w:rPr>
                <w:rFonts w:ascii="Arial" w:hAnsi="Arial" w:cs="Arial"/>
                <w:b/>
                <w:sz w:val="24"/>
                <w:szCs w:val="24"/>
              </w:rPr>
              <w:t>,</w:t>
            </w:r>
            <w:r>
              <w:rPr>
                <w:rFonts w:ascii="Arial" w:hAnsi="Arial" w:cs="Arial"/>
                <w:b/>
                <w:sz w:val="24"/>
                <w:szCs w:val="24"/>
              </w:rPr>
              <w:t>146</w:t>
            </w:r>
          </w:p>
        </w:tc>
      </w:tr>
      <w:tr w:rsidR="00E72FDA" w:rsidTr="008E64C1">
        <w:tc>
          <w:tcPr>
            <w:tcW w:w="2015" w:type="dxa"/>
            <w:shd w:val="clear" w:color="auto" w:fill="E5B8B7" w:themeFill="accent2" w:themeFillTint="66"/>
          </w:tcPr>
          <w:p w:rsidR="00E72FDA" w:rsidRDefault="00E72FDA" w:rsidP="008E64C1">
            <w:pPr>
              <w:jc w:val="center"/>
              <w:rPr>
                <w:rFonts w:ascii="Arial" w:hAnsi="Arial" w:cs="Arial"/>
                <w:b/>
                <w:sz w:val="24"/>
                <w:szCs w:val="24"/>
              </w:rPr>
            </w:pPr>
          </w:p>
          <w:p w:rsidR="00E72FDA" w:rsidRDefault="00E72FDA" w:rsidP="008E64C1">
            <w:pPr>
              <w:jc w:val="center"/>
              <w:rPr>
                <w:rFonts w:ascii="Arial" w:hAnsi="Arial" w:cs="Arial"/>
                <w:b/>
                <w:sz w:val="24"/>
                <w:szCs w:val="24"/>
              </w:rPr>
            </w:pPr>
            <w:r>
              <w:rPr>
                <w:rFonts w:ascii="Arial" w:hAnsi="Arial" w:cs="Arial"/>
                <w:b/>
                <w:sz w:val="24"/>
                <w:szCs w:val="24"/>
              </w:rPr>
              <w:t>Total Enrolments</w:t>
            </w:r>
          </w:p>
          <w:p w:rsidR="00E72FDA" w:rsidRDefault="00E72FDA" w:rsidP="008E64C1">
            <w:pPr>
              <w:jc w:val="center"/>
              <w:rPr>
                <w:rFonts w:ascii="Arial" w:hAnsi="Arial" w:cs="Arial"/>
                <w:b/>
                <w:sz w:val="24"/>
                <w:szCs w:val="24"/>
              </w:rPr>
            </w:pPr>
          </w:p>
        </w:tc>
        <w:tc>
          <w:tcPr>
            <w:tcW w:w="2451" w:type="dxa"/>
          </w:tcPr>
          <w:p w:rsidR="00E72FDA" w:rsidRDefault="00E72FDA" w:rsidP="008E64C1">
            <w:pPr>
              <w:jc w:val="center"/>
              <w:rPr>
                <w:rFonts w:ascii="Arial" w:hAnsi="Arial" w:cs="Arial"/>
                <w:b/>
                <w:sz w:val="24"/>
                <w:szCs w:val="24"/>
              </w:rPr>
            </w:pPr>
          </w:p>
          <w:p w:rsidR="00E72FDA" w:rsidRDefault="00E72FDA" w:rsidP="008E64C1">
            <w:pPr>
              <w:jc w:val="center"/>
              <w:rPr>
                <w:rFonts w:ascii="Arial" w:hAnsi="Arial" w:cs="Arial"/>
                <w:b/>
                <w:sz w:val="24"/>
                <w:szCs w:val="24"/>
              </w:rPr>
            </w:pPr>
            <w:r>
              <w:rPr>
                <w:rFonts w:ascii="Arial" w:hAnsi="Arial" w:cs="Arial"/>
                <w:b/>
                <w:sz w:val="24"/>
                <w:szCs w:val="24"/>
              </w:rPr>
              <w:t>1</w:t>
            </w:r>
            <w:r w:rsidR="00166D80">
              <w:rPr>
                <w:rFonts w:ascii="Arial" w:hAnsi="Arial" w:cs="Arial"/>
                <w:b/>
                <w:sz w:val="24"/>
                <w:szCs w:val="24"/>
              </w:rPr>
              <w:t>,</w:t>
            </w:r>
            <w:r>
              <w:rPr>
                <w:rFonts w:ascii="Arial" w:hAnsi="Arial" w:cs="Arial"/>
                <w:b/>
                <w:sz w:val="24"/>
                <w:szCs w:val="24"/>
              </w:rPr>
              <w:t>685 (7.7%)</w:t>
            </w:r>
          </w:p>
        </w:tc>
        <w:tc>
          <w:tcPr>
            <w:tcW w:w="2585" w:type="dxa"/>
          </w:tcPr>
          <w:p w:rsidR="00E72FDA" w:rsidRDefault="00E72FDA" w:rsidP="008E64C1">
            <w:pPr>
              <w:jc w:val="center"/>
              <w:rPr>
                <w:rFonts w:ascii="Arial" w:hAnsi="Arial" w:cs="Arial"/>
                <w:b/>
                <w:sz w:val="24"/>
                <w:szCs w:val="24"/>
              </w:rPr>
            </w:pPr>
          </w:p>
          <w:p w:rsidR="00E72FDA" w:rsidRDefault="00E72FDA" w:rsidP="008E64C1">
            <w:pPr>
              <w:jc w:val="center"/>
              <w:rPr>
                <w:rFonts w:ascii="Arial" w:hAnsi="Arial" w:cs="Arial"/>
                <w:b/>
                <w:sz w:val="24"/>
                <w:szCs w:val="24"/>
              </w:rPr>
            </w:pPr>
            <w:r>
              <w:rPr>
                <w:rFonts w:ascii="Arial" w:hAnsi="Arial" w:cs="Arial"/>
                <w:b/>
                <w:sz w:val="24"/>
                <w:szCs w:val="24"/>
              </w:rPr>
              <w:t>20</w:t>
            </w:r>
            <w:r w:rsidR="007D44FC">
              <w:rPr>
                <w:rFonts w:ascii="Arial" w:hAnsi="Arial" w:cs="Arial"/>
                <w:b/>
                <w:sz w:val="24"/>
                <w:szCs w:val="24"/>
              </w:rPr>
              <w:t>,</w:t>
            </w:r>
            <w:r>
              <w:rPr>
                <w:rFonts w:ascii="Arial" w:hAnsi="Arial" w:cs="Arial"/>
                <w:b/>
                <w:sz w:val="24"/>
                <w:szCs w:val="24"/>
              </w:rPr>
              <w:t>277 (92.3%)</w:t>
            </w:r>
          </w:p>
        </w:tc>
        <w:tc>
          <w:tcPr>
            <w:tcW w:w="2191" w:type="dxa"/>
          </w:tcPr>
          <w:p w:rsidR="00E72FDA" w:rsidRDefault="00E72FDA" w:rsidP="008E64C1">
            <w:pPr>
              <w:jc w:val="center"/>
              <w:rPr>
                <w:rFonts w:ascii="Arial" w:hAnsi="Arial" w:cs="Arial"/>
                <w:b/>
                <w:sz w:val="24"/>
                <w:szCs w:val="24"/>
              </w:rPr>
            </w:pPr>
          </w:p>
          <w:p w:rsidR="00E72FDA" w:rsidRDefault="00E72FDA" w:rsidP="008E64C1">
            <w:pPr>
              <w:jc w:val="center"/>
              <w:rPr>
                <w:rFonts w:ascii="Arial" w:hAnsi="Arial" w:cs="Arial"/>
                <w:b/>
                <w:sz w:val="24"/>
                <w:szCs w:val="24"/>
              </w:rPr>
            </w:pPr>
            <w:r>
              <w:rPr>
                <w:rFonts w:ascii="Arial" w:hAnsi="Arial" w:cs="Arial"/>
                <w:b/>
                <w:sz w:val="24"/>
                <w:szCs w:val="24"/>
              </w:rPr>
              <w:t>21</w:t>
            </w:r>
            <w:r w:rsidR="007D44FC">
              <w:rPr>
                <w:rFonts w:ascii="Arial" w:hAnsi="Arial" w:cs="Arial"/>
                <w:b/>
                <w:sz w:val="24"/>
                <w:szCs w:val="24"/>
              </w:rPr>
              <w:t>,</w:t>
            </w:r>
            <w:r>
              <w:rPr>
                <w:rFonts w:ascii="Arial" w:hAnsi="Arial" w:cs="Arial"/>
                <w:b/>
                <w:sz w:val="24"/>
                <w:szCs w:val="24"/>
              </w:rPr>
              <w:t>962</w:t>
            </w:r>
          </w:p>
        </w:tc>
      </w:tr>
    </w:tbl>
    <w:p w:rsidR="009A17DC" w:rsidRDefault="009A17DC" w:rsidP="009A17DC">
      <w:pPr>
        <w:rPr>
          <w:rFonts w:ascii="Arial" w:hAnsi="Arial" w:cs="Arial"/>
          <w:sz w:val="24"/>
          <w:szCs w:val="24"/>
        </w:rPr>
      </w:pPr>
    </w:p>
    <w:p w:rsidR="00530F63" w:rsidRDefault="00530F63" w:rsidP="00C045BA">
      <w:pPr>
        <w:rPr>
          <w:rFonts w:ascii="Arial" w:hAnsi="Arial" w:cs="Arial"/>
          <w:sz w:val="24"/>
          <w:szCs w:val="24"/>
        </w:rPr>
      </w:pPr>
    </w:p>
    <w:p w:rsidR="005C6929" w:rsidRDefault="005C6929" w:rsidP="00C045BA">
      <w:pPr>
        <w:rPr>
          <w:rFonts w:ascii="Arial" w:hAnsi="Arial" w:cs="Arial"/>
          <w:sz w:val="24"/>
          <w:szCs w:val="24"/>
        </w:rPr>
      </w:pPr>
    </w:p>
    <w:p w:rsidR="00E72FDA" w:rsidRDefault="00E72FDA" w:rsidP="00C045BA">
      <w:pPr>
        <w:rPr>
          <w:rFonts w:ascii="Arial" w:hAnsi="Arial" w:cs="Arial"/>
          <w:sz w:val="24"/>
          <w:szCs w:val="24"/>
        </w:rPr>
      </w:pPr>
      <w:r>
        <w:rPr>
          <w:rFonts w:ascii="Arial" w:hAnsi="Arial" w:cs="Arial"/>
          <w:sz w:val="24"/>
          <w:szCs w:val="24"/>
        </w:rPr>
        <w:t>The following chart illustrates the percentage of learners in each school who considered themselves as having a disability and/or learning difficulty</w:t>
      </w:r>
      <w:r w:rsidR="00752E75">
        <w:rPr>
          <w:rFonts w:ascii="Arial" w:hAnsi="Arial" w:cs="Arial"/>
          <w:sz w:val="24"/>
          <w:szCs w:val="24"/>
        </w:rPr>
        <w:t>:</w:t>
      </w:r>
    </w:p>
    <w:p w:rsidR="00C045BA" w:rsidRDefault="006D0AE2" w:rsidP="00C045BA">
      <w:pPr>
        <w:jc w:val="center"/>
        <w:rPr>
          <w:rFonts w:ascii="Arial" w:hAnsi="Arial" w:cs="Arial"/>
          <w:sz w:val="24"/>
          <w:szCs w:val="24"/>
        </w:rPr>
      </w:pPr>
      <w:r w:rsidRPr="006D0AE2">
        <w:rPr>
          <w:rFonts w:ascii="Arial" w:hAnsi="Arial" w:cs="Arial"/>
          <w:noProof/>
          <w:sz w:val="24"/>
          <w:szCs w:val="24"/>
        </w:rPr>
        <w:drawing>
          <wp:inline distT="0" distB="0" distL="0" distR="0">
            <wp:extent cx="4572000" cy="2743200"/>
            <wp:effectExtent l="19050" t="0" r="0" b="0"/>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1539B4" w:rsidRDefault="001539B4" w:rsidP="001539B4">
      <w:pPr>
        <w:jc w:val="center"/>
        <w:rPr>
          <w:rFonts w:ascii="Arial" w:hAnsi="Arial" w:cs="Arial"/>
          <w:sz w:val="24"/>
          <w:szCs w:val="24"/>
        </w:rPr>
      </w:pPr>
    </w:p>
    <w:p w:rsidR="0041107B" w:rsidRDefault="0041107B" w:rsidP="001539B4">
      <w:pPr>
        <w:jc w:val="center"/>
        <w:rPr>
          <w:rFonts w:ascii="Arial" w:hAnsi="Arial" w:cs="Arial"/>
          <w:sz w:val="24"/>
          <w:szCs w:val="24"/>
        </w:rPr>
      </w:pPr>
    </w:p>
    <w:p w:rsidR="008E64C1" w:rsidRDefault="0041107B" w:rsidP="001539B4">
      <w:pPr>
        <w:rPr>
          <w:rFonts w:ascii="Arial" w:hAnsi="Arial" w:cs="Arial"/>
          <w:sz w:val="24"/>
          <w:szCs w:val="24"/>
        </w:rPr>
      </w:pPr>
      <w:r>
        <w:rPr>
          <w:rFonts w:ascii="Arial" w:hAnsi="Arial" w:cs="Arial"/>
          <w:sz w:val="24"/>
          <w:szCs w:val="24"/>
        </w:rPr>
        <w:t xml:space="preserve">It can be seen that for 2008-2009 </w:t>
      </w:r>
      <w:r w:rsidR="008E64C1">
        <w:rPr>
          <w:rFonts w:ascii="Arial" w:hAnsi="Arial" w:cs="Arial"/>
          <w:sz w:val="24"/>
          <w:szCs w:val="24"/>
        </w:rPr>
        <w:t>the school with the largest percentage of learners with learning difficulties and/or disabilities is the School of Pre</w:t>
      </w:r>
      <w:r w:rsidR="007D44FC">
        <w:rPr>
          <w:rFonts w:ascii="Arial" w:hAnsi="Arial" w:cs="Arial"/>
          <w:sz w:val="24"/>
          <w:szCs w:val="24"/>
        </w:rPr>
        <w:t>-</w:t>
      </w:r>
      <w:r w:rsidR="008E64C1">
        <w:rPr>
          <w:rFonts w:ascii="Arial" w:hAnsi="Arial" w:cs="Arial"/>
          <w:sz w:val="24"/>
          <w:szCs w:val="24"/>
        </w:rPr>
        <w:t xml:space="preserve">Vocational Studies. </w:t>
      </w:r>
    </w:p>
    <w:p w:rsidR="008E64C1" w:rsidRDefault="008E64C1" w:rsidP="00C045BA">
      <w:pPr>
        <w:rPr>
          <w:rFonts w:ascii="Arial" w:hAnsi="Arial" w:cs="Arial"/>
          <w:sz w:val="24"/>
          <w:szCs w:val="24"/>
        </w:rPr>
      </w:pPr>
      <w:r>
        <w:rPr>
          <w:rFonts w:ascii="Arial" w:hAnsi="Arial" w:cs="Arial"/>
          <w:sz w:val="24"/>
          <w:szCs w:val="24"/>
        </w:rPr>
        <w:t xml:space="preserve">There appears to be a marked increase in the percentage of learners considering themselves to have a disability and/or a learning difficulty in 2008-2009 compared to 2007-2008. It is unclear whether this is a result of an increase in the number of enrolments from this group of learners or as a result of a better mechanism of collecting the data. </w:t>
      </w:r>
    </w:p>
    <w:p w:rsidR="00530F63" w:rsidRDefault="00530F63" w:rsidP="00C045BA">
      <w:pPr>
        <w:rPr>
          <w:rFonts w:ascii="Arial" w:hAnsi="Arial" w:cs="Arial"/>
          <w:sz w:val="24"/>
          <w:szCs w:val="24"/>
        </w:rPr>
      </w:pPr>
    </w:p>
    <w:p w:rsidR="00530F63" w:rsidRDefault="00530F63" w:rsidP="00C045BA">
      <w:pPr>
        <w:rPr>
          <w:rFonts w:ascii="Arial" w:hAnsi="Arial" w:cs="Arial"/>
          <w:sz w:val="24"/>
          <w:szCs w:val="24"/>
        </w:rPr>
      </w:pPr>
    </w:p>
    <w:p w:rsidR="00530F63" w:rsidRDefault="00530F63" w:rsidP="00C045BA">
      <w:pPr>
        <w:rPr>
          <w:rFonts w:ascii="Arial" w:hAnsi="Arial" w:cs="Arial"/>
          <w:sz w:val="24"/>
          <w:szCs w:val="24"/>
        </w:rPr>
      </w:pPr>
    </w:p>
    <w:p w:rsidR="00530F63" w:rsidRDefault="00530F63" w:rsidP="00C045BA">
      <w:pPr>
        <w:rPr>
          <w:rFonts w:ascii="Arial" w:hAnsi="Arial" w:cs="Arial"/>
          <w:sz w:val="24"/>
          <w:szCs w:val="24"/>
        </w:rPr>
      </w:pPr>
    </w:p>
    <w:p w:rsidR="00530F63" w:rsidRDefault="00530F63" w:rsidP="00C045BA">
      <w:pPr>
        <w:rPr>
          <w:rFonts w:ascii="Arial" w:hAnsi="Arial" w:cs="Arial"/>
          <w:sz w:val="24"/>
          <w:szCs w:val="24"/>
        </w:rPr>
      </w:pPr>
    </w:p>
    <w:p w:rsidR="00530F63" w:rsidRDefault="00530F63" w:rsidP="00C045BA">
      <w:pPr>
        <w:rPr>
          <w:rFonts w:ascii="Arial" w:hAnsi="Arial" w:cs="Arial"/>
          <w:sz w:val="24"/>
          <w:szCs w:val="24"/>
        </w:rPr>
      </w:pPr>
    </w:p>
    <w:p w:rsidR="002D4F2A" w:rsidRDefault="002D4F2A" w:rsidP="00C045BA">
      <w:pPr>
        <w:rPr>
          <w:rFonts w:ascii="Arial" w:hAnsi="Arial" w:cs="Arial"/>
          <w:sz w:val="24"/>
          <w:szCs w:val="24"/>
        </w:rPr>
      </w:pPr>
    </w:p>
    <w:p w:rsidR="00530F63" w:rsidRDefault="00530F63" w:rsidP="00C045BA">
      <w:pPr>
        <w:rPr>
          <w:rFonts w:ascii="Arial" w:hAnsi="Arial" w:cs="Arial"/>
          <w:sz w:val="24"/>
          <w:szCs w:val="24"/>
        </w:rPr>
      </w:pPr>
    </w:p>
    <w:p w:rsidR="008E64C1" w:rsidRDefault="008E64C1" w:rsidP="00C045BA">
      <w:pPr>
        <w:rPr>
          <w:rFonts w:ascii="Arial" w:hAnsi="Arial" w:cs="Arial"/>
          <w:sz w:val="24"/>
          <w:szCs w:val="24"/>
        </w:rPr>
      </w:pPr>
      <w:r w:rsidRPr="008E64C1">
        <w:rPr>
          <w:rFonts w:ascii="Arial" w:hAnsi="Arial" w:cs="Arial"/>
          <w:sz w:val="24"/>
          <w:szCs w:val="24"/>
        </w:rPr>
        <w:t>The following chart illustrates the retention, attainment and success of males with learning difficulties/disabilities compared to males without learning difficulties/ disabilities</w:t>
      </w:r>
      <w:r>
        <w:rPr>
          <w:rFonts w:ascii="Arial" w:hAnsi="Arial" w:cs="Arial"/>
          <w:sz w:val="24"/>
          <w:szCs w:val="24"/>
        </w:rPr>
        <w:t>:</w:t>
      </w:r>
    </w:p>
    <w:p w:rsidR="00530F63" w:rsidRDefault="00530F63" w:rsidP="00C045BA">
      <w:pPr>
        <w:rPr>
          <w:rFonts w:ascii="Arial" w:hAnsi="Arial" w:cs="Arial"/>
          <w:sz w:val="24"/>
          <w:szCs w:val="24"/>
        </w:rPr>
      </w:pPr>
    </w:p>
    <w:p w:rsidR="008E64C1" w:rsidRDefault="008E64C1" w:rsidP="008E64C1">
      <w:pPr>
        <w:jc w:val="center"/>
        <w:rPr>
          <w:rFonts w:ascii="Arial" w:hAnsi="Arial" w:cs="Arial"/>
          <w:sz w:val="24"/>
          <w:szCs w:val="24"/>
        </w:rPr>
      </w:pPr>
      <w:r w:rsidRPr="008E64C1">
        <w:rPr>
          <w:rFonts w:ascii="Arial" w:hAnsi="Arial" w:cs="Arial"/>
          <w:noProof/>
          <w:sz w:val="24"/>
          <w:szCs w:val="24"/>
        </w:rPr>
        <w:drawing>
          <wp:inline distT="0" distB="0" distL="0" distR="0">
            <wp:extent cx="4716852" cy="2924355"/>
            <wp:effectExtent l="19050" t="0" r="7548" b="0"/>
            <wp:docPr id="5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1539B4" w:rsidRDefault="001539B4" w:rsidP="008E64C1">
      <w:pPr>
        <w:jc w:val="center"/>
        <w:rPr>
          <w:rFonts w:ascii="Arial" w:hAnsi="Arial" w:cs="Arial"/>
          <w:sz w:val="24"/>
          <w:szCs w:val="24"/>
        </w:rPr>
      </w:pPr>
    </w:p>
    <w:p w:rsidR="001539B4" w:rsidRDefault="001539B4" w:rsidP="001539B4">
      <w:pPr>
        <w:rPr>
          <w:rFonts w:ascii="Arial" w:hAnsi="Arial" w:cs="Arial"/>
          <w:sz w:val="24"/>
          <w:szCs w:val="24"/>
        </w:rPr>
      </w:pPr>
      <w:r w:rsidRPr="001539B4">
        <w:rPr>
          <w:rFonts w:ascii="Arial" w:hAnsi="Arial" w:cs="Arial"/>
          <w:sz w:val="24"/>
          <w:szCs w:val="24"/>
        </w:rPr>
        <w:t>It can be seen that for 200</w:t>
      </w:r>
      <w:r w:rsidR="007D44FC">
        <w:rPr>
          <w:rFonts w:ascii="Arial" w:hAnsi="Arial" w:cs="Arial"/>
          <w:sz w:val="24"/>
          <w:szCs w:val="24"/>
        </w:rPr>
        <w:t xml:space="preserve">8-2009 </w:t>
      </w:r>
      <w:r w:rsidRPr="001539B4">
        <w:rPr>
          <w:rFonts w:ascii="Arial" w:hAnsi="Arial" w:cs="Arial"/>
          <w:sz w:val="24"/>
          <w:szCs w:val="24"/>
        </w:rPr>
        <w:t>the retention for males with and without learning difficulties/disabilities is approximately the same</w:t>
      </w:r>
      <w:r w:rsidR="007D44FC">
        <w:rPr>
          <w:rFonts w:ascii="Arial" w:hAnsi="Arial" w:cs="Arial"/>
          <w:sz w:val="24"/>
          <w:szCs w:val="24"/>
        </w:rPr>
        <w:t>,</w:t>
      </w:r>
      <w:r w:rsidRPr="001539B4">
        <w:rPr>
          <w:rFonts w:ascii="Arial" w:hAnsi="Arial" w:cs="Arial"/>
          <w:sz w:val="24"/>
          <w:szCs w:val="24"/>
        </w:rPr>
        <w:t xml:space="preserve"> whereas the percentage attainment and success for males</w:t>
      </w:r>
      <w:r w:rsidR="00BC008A">
        <w:rPr>
          <w:rFonts w:ascii="Arial" w:hAnsi="Arial" w:cs="Arial"/>
          <w:sz w:val="24"/>
          <w:szCs w:val="24"/>
        </w:rPr>
        <w:t xml:space="preserve"> with learning difficulties / </w:t>
      </w:r>
      <w:r w:rsidRPr="001539B4">
        <w:rPr>
          <w:rFonts w:ascii="Arial" w:hAnsi="Arial" w:cs="Arial"/>
          <w:sz w:val="24"/>
          <w:szCs w:val="24"/>
        </w:rPr>
        <w:t xml:space="preserve">disabilities slightly exceeds that of males without learning difficulties and disabilities. </w:t>
      </w:r>
    </w:p>
    <w:p w:rsidR="00530F63" w:rsidRDefault="00530F63" w:rsidP="001539B4">
      <w:pPr>
        <w:rPr>
          <w:rFonts w:ascii="Arial" w:hAnsi="Arial" w:cs="Arial"/>
          <w:sz w:val="24"/>
          <w:szCs w:val="24"/>
        </w:rPr>
      </w:pPr>
    </w:p>
    <w:p w:rsidR="00530F63" w:rsidRDefault="00530F63" w:rsidP="001539B4">
      <w:pPr>
        <w:rPr>
          <w:rFonts w:ascii="Arial" w:hAnsi="Arial" w:cs="Arial"/>
          <w:sz w:val="24"/>
          <w:szCs w:val="24"/>
        </w:rPr>
      </w:pPr>
    </w:p>
    <w:p w:rsidR="00530F63" w:rsidRDefault="00530F63" w:rsidP="001539B4">
      <w:pPr>
        <w:rPr>
          <w:rFonts w:ascii="Arial" w:hAnsi="Arial" w:cs="Arial"/>
          <w:sz w:val="24"/>
          <w:szCs w:val="24"/>
        </w:rPr>
      </w:pPr>
    </w:p>
    <w:p w:rsidR="00530F63" w:rsidRDefault="00530F63" w:rsidP="001539B4">
      <w:pPr>
        <w:rPr>
          <w:rFonts w:ascii="Arial" w:hAnsi="Arial" w:cs="Arial"/>
          <w:sz w:val="24"/>
          <w:szCs w:val="24"/>
        </w:rPr>
      </w:pPr>
    </w:p>
    <w:p w:rsidR="00530F63" w:rsidRDefault="00530F63" w:rsidP="001539B4">
      <w:pPr>
        <w:rPr>
          <w:rFonts w:ascii="Arial" w:hAnsi="Arial" w:cs="Arial"/>
          <w:sz w:val="24"/>
          <w:szCs w:val="24"/>
        </w:rPr>
      </w:pPr>
    </w:p>
    <w:p w:rsidR="00530F63" w:rsidRDefault="00530F63" w:rsidP="001539B4">
      <w:pPr>
        <w:rPr>
          <w:rFonts w:ascii="Arial" w:hAnsi="Arial" w:cs="Arial"/>
          <w:sz w:val="24"/>
          <w:szCs w:val="24"/>
        </w:rPr>
      </w:pPr>
    </w:p>
    <w:p w:rsidR="00530F63" w:rsidRDefault="00530F63" w:rsidP="001539B4">
      <w:pPr>
        <w:rPr>
          <w:rFonts w:ascii="Arial" w:hAnsi="Arial" w:cs="Arial"/>
          <w:sz w:val="24"/>
          <w:szCs w:val="24"/>
        </w:rPr>
      </w:pPr>
    </w:p>
    <w:p w:rsidR="00530F63" w:rsidRDefault="00530F63" w:rsidP="001539B4">
      <w:pPr>
        <w:rPr>
          <w:rFonts w:ascii="Arial" w:hAnsi="Arial" w:cs="Arial"/>
          <w:sz w:val="24"/>
          <w:szCs w:val="24"/>
        </w:rPr>
      </w:pPr>
    </w:p>
    <w:p w:rsidR="00530F63" w:rsidRDefault="00530F63" w:rsidP="001539B4">
      <w:pPr>
        <w:rPr>
          <w:rFonts w:ascii="Arial" w:hAnsi="Arial" w:cs="Arial"/>
          <w:sz w:val="24"/>
          <w:szCs w:val="24"/>
        </w:rPr>
      </w:pPr>
    </w:p>
    <w:p w:rsidR="00530F63" w:rsidRDefault="00530F63" w:rsidP="001539B4">
      <w:pPr>
        <w:rPr>
          <w:rFonts w:ascii="Arial" w:hAnsi="Arial" w:cs="Arial"/>
          <w:sz w:val="24"/>
          <w:szCs w:val="24"/>
        </w:rPr>
      </w:pPr>
    </w:p>
    <w:p w:rsidR="001539B4" w:rsidRPr="001539B4" w:rsidRDefault="001539B4" w:rsidP="001539B4">
      <w:pPr>
        <w:rPr>
          <w:rFonts w:ascii="Arial" w:hAnsi="Arial" w:cs="Arial"/>
          <w:sz w:val="24"/>
          <w:szCs w:val="24"/>
        </w:rPr>
      </w:pPr>
      <w:r w:rsidRPr="001539B4">
        <w:rPr>
          <w:rFonts w:ascii="Arial" w:hAnsi="Arial" w:cs="Arial"/>
          <w:sz w:val="24"/>
          <w:szCs w:val="24"/>
        </w:rPr>
        <w:t>The following chart illustrates the retention, attainment and success of females with learning difficulties/disabilities compared to females without learning difficulties/ disabilities</w:t>
      </w:r>
      <w:r>
        <w:rPr>
          <w:rFonts w:ascii="Arial" w:hAnsi="Arial" w:cs="Arial"/>
          <w:sz w:val="24"/>
          <w:szCs w:val="24"/>
        </w:rPr>
        <w:t>:</w:t>
      </w:r>
    </w:p>
    <w:p w:rsidR="001539B4" w:rsidRPr="001539B4" w:rsidRDefault="00E44A7C" w:rsidP="001539B4">
      <w:pPr>
        <w:jc w:val="center"/>
        <w:rPr>
          <w:rFonts w:ascii="Arial" w:hAnsi="Arial" w:cs="Arial"/>
          <w:sz w:val="24"/>
          <w:szCs w:val="24"/>
        </w:rPr>
      </w:pPr>
      <w:r w:rsidRPr="00E44A7C">
        <w:rPr>
          <w:rFonts w:ascii="Arial" w:hAnsi="Arial" w:cs="Arial"/>
          <w:noProof/>
          <w:sz w:val="24"/>
          <w:szCs w:val="24"/>
        </w:rPr>
        <w:drawing>
          <wp:inline distT="0" distB="0" distL="0" distR="0">
            <wp:extent cx="4572000" cy="2743200"/>
            <wp:effectExtent l="19050" t="0" r="0" b="0"/>
            <wp:docPr id="4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1539B4" w:rsidRPr="007E1624" w:rsidRDefault="001539B4" w:rsidP="001539B4">
      <w:pPr>
        <w:jc w:val="center"/>
        <w:rPr>
          <w:rFonts w:ascii="Arial" w:hAnsi="Arial" w:cs="Arial"/>
        </w:rPr>
      </w:pPr>
    </w:p>
    <w:p w:rsidR="00530F63" w:rsidRDefault="00530F63" w:rsidP="001539B4">
      <w:pPr>
        <w:rPr>
          <w:rFonts w:ascii="Arial" w:hAnsi="Arial" w:cs="Arial"/>
          <w:sz w:val="24"/>
          <w:szCs w:val="24"/>
        </w:rPr>
      </w:pPr>
    </w:p>
    <w:p w:rsidR="001539B4" w:rsidRPr="001539B4" w:rsidRDefault="001539B4" w:rsidP="001539B4">
      <w:pPr>
        <w:rPr>
          <w:rFonts w:ascii="Arial" w:hAnsi="Arial" w:cs="Arial"/>
          <w:sz w:val="24"/>
          <w:szCs w:val="24"/>
        </w:rPr>
      </w:pPr>
      <w:r w:rsidRPr="001539B4">
        <w:rPr>
          <w:rFonts w:ascii="Arial" w:hAnsi="Arial" w:cs="Arial"/>
          <w:sz w:val="24"/>
          <w:szCs w:val="24"/>
        </w:rPr>
        <w:t>It can be seen that for 200</w:t>
      </w:r>
      <w:r w:rsidR="007D44FC">
        <w:rPr>
          <w:rFonts w:ascii="Arial" w:hAnsi="Arial" w:cs="Arial"/>
          <w:sz w:val="24"/>
          <w:szCs w:val="24"/>
        </w:rPr>
        <w:t>8-2009</w:t>
      </w:r>
      <w:r w:rsidRPr="001539B4">
        <w:rPr>
          <w:rFonts w:ascii="Arial" w:hAnsi="Arial" w:cs="Arial"/>
          <w:sz w:val="24"/>
          <w:szCs w:val="24"/>
        </w:rPr>
        <w:t xml:space="preserve"> the retention for females with and without learning difficulties/disabilities is approximately the same</w:t>
      </w:r>
      <w:r w:rsidR="007D44FC">
        <w:rPr>
          <w:rFonts w:ascii="Arial" w:hAnsi="Arial" w:cs="Arial"/>
          <w:sz w:val="24"/>
          <w:szCs w:val="24"/>
        </w:rPr>
        <w:t>,</w:t>
      </w:r>
      <w:r w:rsidRPr="001539B4">
        <w:rPr>
          <w:rFonts w:ascii="Arial" w:hAnsi="Arial" w:cs="Arial"/>
          <w:sz w:val="24"/>
          <w:szCs w:val="24"/>
        </w:rPr>
        <w:t xml:space="preserve"> whereas the percentage attainment and success for female</w:t>
      </w:r>
      <w:r w:rsidR="00BC008A">
        <w:rPr>
          <w:rFonts w:ascii="Arial" w:hAnsi="Arial" w:cs="Arial"/>
          <w:sz w:val="24"/>
          <w:szCs w:val="24"/>
        </w:rPr>
        <w:t>s with learning difficulties /</w:t>
      </w:r>
      <w:r w:rsidRPr="001539B4">
        <w:rPr>
          <w:rFonts w:ascii="Arial" w:hAnsi="Arial" w:cs="Arial"/>
          <w:sz w:val="24"/>
          <w:szCs w:val="24"/>
        </w:rPr>
        <w:t xml:space="preserve"> disabilities slightly exceeds that of females without learning </w:t>
      </w:r>
      <w:r>
        <w:rPr>
          <w:rFonts w:ascii="Arial" w:hAnsi="Arial" w:cs="Arial"/>
          <w:sz w:val="24"/>
          <w:szCs w:val="24"/>
        </w:rPr>
        <w:t>difficulties and disabilities.</w:t>
      </w:r>
    </w:p>
    <w:p w:rsidR="001539B4" w:rsidRPr="001539B4" w:rsidRDefault="001539B4" w:rsidP="001539B4">
      <w:pPr>
        <w:rPr>
          <w:rFonts w:ascii="Arial" w:hAnsi="Arial" w:cs="Arial"/>
          <w:sz w:val="24"/>
          <w:szCs w:val="24"/>
        </w:rPr>
      </w:pPr>
    </w:p>
    <w:p w:rsidR="001539B4" w:rsidRPr="001539B4" w:rsidRDefault="001539B4" w:rsidP="001539B4">
      <w:pPr>
        <w:rPr>
          <w:rFonts w:ascii="Arial" w:hAnsi="Arial" w:cs="Arial"/>
          <w:b/>
          <w:sz w:val="24"/>
          <w:szCs w:val="24"/>
        </w:rPr>
      </w:pPr>
      <w:r w:rsidRPr="001539B4">
        <w:rPr>
          <w:rFonts w:ascii="Arial" w:hAnsi="Arial" w:cs="Arial"/>
          <w:b/>
          <w:sz w:val="24"/>
          <w:szCs w:val="24"/>
        </w:rPr>
        <w:t>2009-2010</w:t>
      </w:r>
    </w:p>
    <w:tbl>
      <w:tblPr>
        <w:tblStyle w:val="TableGrid"/>
        <w:tblW w:w="0" w:type="auto"/>
        <w:tblLook w:val="04A0"/>
      </w:tblPr>
      <w:tblGrid>
        <w:gridCol w:w="2015"/>
        <w:gridCol w:w="2451"/>
        <w:gridCol w:w="2585"/>
        <w:gridCol w:w="2191"/>
      </w:tblGrid>
      <w:tr w:rsidR="001539B4" w:rsidTr="00085434">
        <w:tc>
          <w:tcPr>
            <w:tcW w:w="2015" w:type="dxa"/>
            <w:shd w:val="clear" w:color="auto" w:fill="E5B8B7" w:themeFill="accent2" w:themeFillTint="66"/>
          </w:tcPr>
          <w:p w:rsidR="001539B4" w:rsidRDefault="001539B4" w:rsidP="00085434">
            <w:pPr>
              <w:jc w:val="center"/>
              <w:rPr>
                <w:rFonts w:ascii="Arial" w:hAnsi="Arial" w:cs="Arial"/>
                <w:b/>
                <w:sz w:val="24"/>
                <w:szCs w:val="24"/>
              </w:rPr>
            </w:pPr>
          </w:p>
        </w:tc>
        <w:tc>
          <w:tcPr>
            <w:tcW w:w="2451" w:type="dxa"/>
            <w:shd w:val="clear" w:color="auto" w:fill="E5B8B7" w:themeFill="accent2" w:themeFillTint="66"/>
          </w:tcPr>
          <w:p w:rsidR="001539B4" w:rsidRDefault="001539B4" w:rsidP="00085434">
            <w:pPr>
              <w:jc w:val="center"/>
              <w:rPr>
                <w:rFonts w:ascii="Arial" w:hAnsi="Arial" w:cs="Arial"/>
                <w:b/>
                <w:sz w:val="24"/>
                <w:szCs w:val="24"/>
              </w:rPr>
            </w:pPr>
            <w:r>
              <w:rPr>
                <w:rFonts w:ascii="Arial" w:hAnsi="Arial" w:cs="Arial"/>
                <w:b/>
                <w:sz w:val="24"/>
                <w:szCs w:val="24"/>
              </w:rPr>
              <w:t>With disability and/or learning difficulty</w:t>
            </w:r>
          </w:p>
        </w:tc>
        <w:tc>
          <w:tcPr>
            <w:tcW w:w="2585" w:type="dxa"/>
            <w:shd w:val="clear" w:color="auto" w:fill="E5B8B7" w:themeFill="accent2" w:themeFillTint="66"/>
          </w:tcPr>
          <w:p w:rsidR="001539B4" w:rsidRDefault="001539B4" w:rsidP="00085434">
            <w:pPr>
              <w:jc w:val="center"/>
              <w:rPr>
                <w:rFonts w:ascii="Arial" w:hAnsi="Arial" w:cs="Arial"/>
                <w:b/>
                <w:sz w:val="24"/>
                <w:szCs w:val="24"/>
              </w:rPr>
            </w:pPr>
            <w:r>
              <w:rPr>
                <w:rFonts w:ascii="Arial" w:hAnsi="Arial" w:cs="Arial"/>
                <w:b/>
                <w:sz w:val="24"/>
                <w:szCs w:val="24"/>
              </w:rPr>
              <w:t>Without disability and/or learning difficulty</w:t>
            </w:r>
          </w:p>
        </w:tc>
        <w:tc>
          <w:tcPr>
            <w:tcW w:w="2191" w:type="dxa"/>
            <w:shd w:val="clear" w:color="auto" w:fill="E5B8B7" w:themeFill="accent2" w:themeFillTint="66"/>
          </w:tcPr>
          <w:p w:rsidR="001539B4" w:rsidRDefault="001539B4" w:rsidP="00085434">
            <w:pPr>
              <w:jc w:val="center"/>
              <w:rPr>
                <w:rFonts w:ascii="Arial" w:hAnsi="Arial" w:cs="Arial"/>
                <w:b/>
                <w:sz w:val="24"/>
                <w:szCs w:val="24"/>
              </w:rPr>
            </w:pPr>
            <w:r>
              <w:rPr>
                <w:rFonts w:ascii="Arial" w:hAnsi="Arial" w:cs="Arial"/>
                <w:b/>
                <w:sz w:val="24"/>
                <w:szCs w:val="24"/>
              </w:rPr>
              <w:t>Total</w:t>
            </w:r>
          </w:p>
        </w:tc>
      </w:tr>
      <w:tr w:rsidR="001539B4" w:rsidTr="00085434">
        <w:tc>
          <w:tcPr>
            <w:tcW w:w="2015" w:type="dxa"/>
            <w:shd w:val="clear" w:color="auto" w:fill="E5B8B7" w:themeFill="accent2" w:themeFillTint="66"/>
          </w:tcPr>
          <w:p w:rsidR="001539B4" w:rsidRDefault="001539B4" w:rsidP="00085434">
            <w:pPr>
              <w:jc w:val="center"/>
              <w:rPr>
                <w:rFonts w:ascii="Arial" w:hAnsi="Arial" w:cs="Arial"/>
                <w:b/>
                <w:sz w:val="24"/>
                <w:szCs w:val="24"/>
              </w:rPr>
            </w:pPr>
          </w:p>
          <w:p w:rsidR="001539B4" w:rsidRDefault="001539B4" w:rsidP="00085434">
            <w:pPr>
              <w:jc w:val="center"/>
              <w:rPr>
                <w:rFonts w:ascii="Arial" w:hAnsi="Arial" w:cs="Arial"/>
                <w:b/>
                <w:sz w:val="24"/>
                <w:szCs w:val="24"/>
              </w:rPr>
            </w:pPr>
            <w:r>
              <w:rPr>
                <w:rFonts w:ascii="Arial" w:hAnsi="Arial" w:cs="Arial"/>
                <w:b/>
                <w:sz w:val="24"/>
                <w:szCs w:val="24"/>
              </w:rPr>
              <w:t>Male Enrolments</w:t>
            </w:r>
          </w:p>
        </w:tc>
        <w:tc>
          <w:tcPr>
            <w:tcW w:w="2451" w:type="dxa"/>
          </w:tcPr>
          <w:p w:rsidR="001539B4" w:rsidRDefault="001539B4" w:rsidP="00085434">
            <w:pPr>
              <w:jc w:val="center"/>
              <w:rPr>
                <w:rFonts w:ascii="Arial" w:hAnsi="Arial" w:cs="Arial"/>
                <w:b/>
                <w:sz w:val="24"/>
                <w:szCs w:val="24"/>
              </w:rPr>
            </w:pPr>
          </w:p>
          <w:p w:rsidR="0082585E" w:rsidRDefault="0082585E" w:rsidP="00085434">
            <w:pPr>
              <w:jc w:val="center"/>
              <w:rPr>
                <w:rFonts w:ascii="Arial" w:hAnsi="Arial" w:cs="Arial"/>
                <w:b/>
                <w:sz w:val="24"/>
                <w:szCs w:val="24"/>
              </w:rPr>
            </w:pPr>
            <w:r>
              <w:rPr>
                <w:rFonts w:ascii="Arial" w:hAnsi="Arial" w:cs="Arial"/>
                <w:b/>
                <w:sz w:val="24"/>
                <w:szCs w:val="24"/>
              </w:rPr>
              <w:t>1</w:t>
            </w:r>
            <w:r w:rsidR="007D44FC">
              <w:rPr>
                <w:rFonts w:ascii="Arial" w:hAnsi="Arial" w:cs="Arial"/>
                <w:b/>
                <w:sz w:val="24"/>
                <w:szCs w:val="24"/>
              </w:rPr>
              <w:t>,</w:t>
            </w:r>
            <w:r>
              <w:rPr>
                <w:rFonts w:ascii="Arial" w:hAnsi="Arial" w:cs="Arial"/>
                <w:b/>
                <w:sz w:val="24"/>
                <w:szCs w:val="24"/>
              </w:rPr>
              <w:t>102 (8.8%)</w:t>
            </w:r>
          </w:p>
        </w:tc>
        <w:tc>
          <w:tcPr>
            <w:tcW w:w="2585" w:type="dxa"/>
          </w:tcPr>
          <w:p w:rsidR="001539B4" w:rsidRDefault="001539B4" w:rsidP="00085434">
            <w:pPr>
              <w:jc w:val="center"/>
              <w:rPr>
                <w:rFonts w:ascii="Arial" w:hAnsi="Arial" w:cs="Arial"/>
                <w:b/>
                <w:sz w:val="24"/>
                <w:szCs w:val="24"/>
              </w:rPr>
            </w:pPr>
          </w:p>
          <w:p w:rsidR="0082585E" w:rsidRDefault="0082585E" w:rsidP="00085434">
            <w:pPr>
              <w:jc w:val="center"/>
              <w:rPr>
                <w:rFonts w:ascii="Arial" w:hAnsi="Arial" w:cs="Arial"/>
                <w:b/>
                <w:sz w:val="24"/>
                <w:szCs w:val="24"/>
              </w:rPr>
            </w:pPr>
            <w:r>
              <w:rPr>
                <w:rFonts w:ascii="Arial" w:hAnsi="Arial" w:cs="Arial"/>
                <w:b/>
                <w:sz w:val="24"/>
                <w:szCs w:val="24"/>
              </w:rPr>
              <w:t>11</w:t>
            </w:r>
            <w:r w:rsidR="007D44FC">
              <w:rPr>
                <w:rFonts w:ascii="Arial" w:hAnsi="Arial" w:cs="Arial"/>
                <w:b/>
                <w:sz w:val="24"/>
                <w:szCs w:val="24"/>
              </w:rPr>
              <w:t>,</w:t>
            </w:r>
            <w:r>
              <w:rPr>
                <w:rFonts w:ascii="Arial" w:hAnsi="Arial" w:cs="Arial"/>
                <w:b/>
                <w:sz w:val="24"/>
                <w:szCs w:val="24"/>
              </w:rPr>
              <w:t>352 (91.2%)</w:t>
            </w:r>
          </w:p>
        </w:tc>
        <w:tc>
          <w:tcPr>
            <w:tcW w:w="2191" w:type="dxa"/>
          </w:tcPr>
          <w:p w:rsidR="001539B4" w:rsidRDefault="001539B4" w:rsidP="00085434">
            <w:pPr>
              <w:jc w:val="center"/>
              <w:rPr>
                <w:rFonts w:ascii="Arial" w:hAnsi="Arial" w:cs="Arial"/>
                <w:b/>
                <w:sz w:val="24"/>
                <w:szCs w:val="24"/>
              </w:rPr>
            </w:pPr>
          </w:p>
          <w:p w:rsidR="0082585E" w:rsidRDefault="0082585E" w:rsidP="00085434">
            <w:pPr>
              <w:jc w:val="center"/>
              <w:rPr>
                <w:rFonts w:ascii="Arial" w:hAnsi="Arial" w:cs="Arial"/>
                <w:b/>
                <w:sz w:val="24"/>
                <w:szCs w:val="24"/>
              </w:rPr>
            </w:pPr>
            <w:r>
              <w:rPr>
                <w:rFonts w:ascii="Arial" w:hAnsi="Arial" w:cs="Arial"/>
                <w:b/>
                <w:sz w:val="24"/>
                <w:szCs w:val="24"/>
              </w:rPr>
              <w:t>12</w:t>
            </w:r>
            <w:r w:rsidR="007D44FC">
              <w:rPr>
                <w:rFonts w:ascii="Arial" w:hAnsi="Arial" w:cs="Arial"/>
                <w:b/>
                <w:sz w:val="24"/>
                <w:szCs w:val="24"/>
              </w:rPr>
              <w:t>,</w:t>
            </w:r>
            <w:r>
              <w:rPr>
                <w:rFonts w:ascii="Arial" w:hAnsi="Arial" w:cs="Arial"/>
                <w:b/>
                <w:sz w:val="24"/>
                <w:szCs w:val="24"/>
              </w:rPr>
              <w:t>454</w:t>
            </w:r>
          </w:p>
        </w:tc>
      </w:tr>
      <w:tr w:rsidR="001539B4" w:rsidTr="00085434">
        <w:tc>
          <w:tcPr>
            <w:tcW w:w="2015" w:type="dxa"/>
            <w:shd w:val="clear" w:color="auto" w:fill="E5B8B7" w:themeFill="accent2" w:themeFillTint="66"/>
          </w:tcPr>
          <w:p w:rsidR="001539B4" w:rsidRDefault="001539B4" w:rsidP="00085434">
            <w:pPr>
              <w:jc w:val="center"/>
              <w:rPr>
                <w:rFonts w:ascii="Arial" w:hAnsi="Arial" w:cs="Arial"/>
                <w:b/>
                <w:sz w:val="24"/>
                <w:szCs w:val="24"/>
              </w:rPr>
            </w:pPr>
          </w:p>
          <w:p w:rsidR="001539B4" w:rsidRDefault="001539B4" w:rsidP="00085434">
            <w:pPr>
              <w:jc w:val="center"/>
              <w:rPr>
                <w:rFonts w:ascii="Arial" w:hAnsi="Arial" w:cs="Arial"/>
                <w:b/>
                <w:sz w:val="24"/>
                <w:szCs w:val="24"/>
              </w:rPr>
            </w:pPr>
            <w:r>
              <w:rPr>
                <w:rFonts w:ascii="Arial" w:hAnsi="Arial" w:cs="Arial"/>
                <w:b/>
                <w:sz w:val="24"/>
                <w:szCs w:val="24"/>
              </w:rPr>
              <w:t>Female Enrolments</w:t>
            </w:r>
          </w:p>
        </w:tc>
        <w:tc>
          <w:tcPr>
            <w:tcW w:w="2451" w:type="dxa"/>
          </w:tcPr>
          <w:p w:rsidR="001539B4" w:rsidRDefault="001539B4" w:rsidP="00085434">
            <w:pPr>
              <w:jc w:val="center"/>
              <w:rPr>
                <w:rFonts w:ascii="Arial" w:hAnsi="Arial" w:cs="Arial"/>
                <w:b/>
                <w:sz w:val="24"/>
                <w:szCs w:val="24"/>
              </w:rPr>
            </w:pPr>
          </w:p>
          <w:p w:rsidR="0082585E" w:rsidRDefault="0082585E" w:rsidP="00085434">
            <w:pPr>
              <w:jc w:val="center"/>
              <w:rPr>
                <w:rFonts w:ascii="Arial" w:hAnsi="Arial" w:cs="Arial"/>
                <w:b/>
                <w:sz w:val="24"/>
                <w:szCs w:val="24"/>
              </w:rPr>
            </w:pPr>
            <w:r>
              <w:rPr>
                <w:rFonts w:ascii="Arial" w:hAnsi="Arial" w:cs="Arial"/>
                <w:b/>
                <w:sz w:val="24"/>
                <w:szCs w:val="24"/>
              </w:rPr>
              <w:t>893 (7.1%)</w:t>
            </w:r>
          </w:p>
        </w:tc>
        <w:tc>
          <w:tcPr>
            <w:tcW w:w="2585" w:type="dxa"/>
          </w:tcPr>
          <w:p w:rsidR="001539B4" w:rsidRDefault="001539B4" w:rsidP="00085434">
            <w:pPr>
              <w:jc w:val="center"/>
              <w:rPr>
                <w:rFonts w:ascii="Arial" w:hAnsi="Arial" w:cs="Arial"/>
                <w:b/>
                <w:sz w:val="24"/>
                <w:szCs w:val="24"/>
              </w:rPr>
            </w:pPr>
          </w:p>
          <w:p w:rsidR="0082585E" w:rsidRDefault="0082585E" w:rsidP="00085434">
            <w:pPr>
              <w:jc w:val="center"/>
              <w:rPr>
                <w:rFonts w:ascii="Arial" w:hAnsi="Arial" w:cs="Arial"/>
                <w:b/>
                <w:sz w:val="24"/>
                <w:szCs w:val="24"/>
              </w:rPr>
            </w:pPr>
            <w:r>
              <w:rPr>
                <w:rFonts w:ascii="Arial" w:hAnsi="Arial" w:cs="Arial"/>
                <w:b/>
                <w:sz w:val="24"/>
                <w:szCs w:val="24"/>
              </w:rPr>
              <w:t>11</w:t>
            </w:r>
            <w:r w:rsidR="007D44FC">
              <w:rPr>
                <w:rFonts w:ascii="Arial" w:hAnsi="Arial" w:cs="Arial"/>
                <w:b/>
                <w:sz w:val="24"/>
                <w:szCs w:val="24"/>
              </w:rPr>
              <w:t>,</w:t>
            </w:r>
            <w:r>
              <w:rPr>
                <w:rFonts w:ascii="Arial" w:hAnsi="Arial" w:cs="Arial"/>
                <w:b/>
                <w:sz w:val="24"/>
                <w:szCs w:val="24"/>
              </w:rPr>
              <w:t>700 (92.9%)</w:t>
            </w:r>
          </w:p>
        </w:tc>
        <w:tc>
          <w:tcPr>
            <w:tcW w:w="2191" w:type="dxa"/>
          </w:tcPr>
          <w:p w:rsidR="001539B4" w:rsidRDefault="001539B4" w:rsidP="00085434">
            <w:pPr>
              <w:jc w:val="center"/>
              <w:rPr>
                <w:rFonts w:ascii="Arial" w:hAnsi="Arial" w:cs="Arial"/>
                <w:b/>
                <w:sz w:val="24"/>
                <w:szCs w:val="24"/>
              </w:rPr>
            </w:pPr>
          </w:p>
          <w:p w:rsidR="0082585E" w:rsidRDefault="0082585E" w:rsidP="00085434">
            <w:pPr>
              <w:jc w:val="center"/>
              <w:rPr>
                <w:rFonts w:ascii="Arial" w:hAnsi="Arial" w:cs="Arial"/>
                <w:b/>
                <w:sz w:val="24"/>
                <w:szCs w:val="24"/>
              </w:rPr>
            </w:pPr>
            <w:r>
              <w:rPr>
                <w:rFonts w:ascii="Arial" w:hAnsi="Arial" w:cs="Arial"/>
                <w:b/>
                <w:sz w:val="24"/>
                <w:szCs w:val="24"/>
              </w:rPr>
              <w:t>12</w:t>
            </w:r>
            <w:r w:rsidR="007D44FC">
              <w:rPr>
                <w:rFonts w:ascii="Arial" w:hAnsi="Arial" w:cs="Arial"/>
                <w:b/>
                <w:sz w:val="24"/>
                <w:szCs w:val="24"/>
              </w:rPr>
              <w:t>,</w:t>
            </w:r>
            <w:r>
              <w:rPr>
                <w:rFonts w:ascii="Arial" w:hAnsi="Arial" w:cs="Arial"/>
                <w:b/>
                <w:sz w:val="24"/>
                <w:szCs w:val="24"/>
              </w:rPr>
              <w:t>593</w:t>
            </w:r>
          </w:p>
        </w:tc>
      </w:tr>
      <w:tr w:rsidR="001539B4" w:rsidTr="00085434">
        <w:tc>
          <w:tcPr>
            <w:tcW w:w="2015" w:type="dxa"/>
            <w:shd w:val="clear" w:color="auto" w:fill="E5B8B7" w:themeFill="accent2" w:themeFillTint="66"/>
          </w:tcPr>
          <w:p w:rsidR="001539B4" w:rsidRDefault="001539B4" w:rsidP="00085434">
            <w:pPr>
              <w:jc w:val="center"/>
              <w:rPr>
                <w:rFonts w:ascii="Arial" w:hAnsi="Arial" w:cs="Arial"/>
                <w:b/>
                <w:sz w:val="24"/>
                <w:szCs w:val="24"/>
              </w:rPr>
            </w:pPr>
          </w:p>
          <w:p w:rsidR="001539B4" w:rsidRDefault="001539B4" w:rsidP="00085434">
            <w:pPr>
              <w:jc w:val="center"/>
              <w:rPr>
                <w:rFonts w:ascii="Arial" w:hAnsi="Arial" w:cs="Arial"/>
                <w:b/>
                <w:sz w:val="24"/>
                <w:szCs w:val="24"/>
              </w:rPr>
            </w:pPr>
            <w:r>
              <w:rPr>
                <w:rFonts w:ascii="Arial" w:hAnsi="Arial" w:cs="Arial"/>
                <w:b/>
                <w:sz w:val="24"/>
                <w:szCs w:val="24"/>
              </w:rPr>
              <w:t>Total Enrolments</w:t>
            </w:r>
          </w:p>
          <w:p w:rsidR="001539B4" w:rsidRDefault="001539B4" w:rsidP="00085434">
            <w:pPr>
              <w:jc w:val="center"/>
              <w:rPr>
                <w:rFonts w:ascii="Arial" w:hAnsi="Arial" w:cs="Arial"/>
                <w:b/>
                <w:sz w:val="24"/>
                <w:szCs w:val="24"/>
              </w:rPr>
            </w:pPr>
          </w:p>
        </w:tc>
        <w:tc>
          <w:tcPr>
            <w:tcW w:w="2451" w:type="dxa"/>
          </w:tcPr>
          <w:p w:rsidR="001539B4" w:rsidRDefault="001539B4" w:rsidP="00085434">
            <w:pPr>
              <w:jc w:val="center"/>
              <w:rPr>
                <w:rFonts w:ascii="Arial" w:hAnsi="Arial" w:cs="Arial"/>
                <w:b/>
                <w:sz w:val="24"/>
                <w:szCs w:val="24"/>
              </w:rPr>
            </w:pPr>
          </w:p>
          <w:p w:rsidR="0082585E" w:rsidRDefault="0082585E" w:rsidP="00085434">
            <w:pPr>
              <w:jc w:val="center"/>
              <w:rPr>
                <w:rFonts w:ascii="Arial" w:hAnsi="Arial" w:cs="Arial"/>
                <w:b/>
                <w:sz w:val="24"/>
                <w:szCs w:val="24"/>
              </w:rPr>
            </w:pPr>
            <w:r>
              <w:rPr>
                <w:rFonts w:ascii="Arial" w:hAnsi="Arial" w:cs="Arial"/>
                <w:b/>
                <w:sz w:val="24"/>
                <w:szCs w:val="24"/>
              </w:rPr>
              <w:t>1</w:t>
            </w:r>
            <w:r w:rsidR="007D44FC">
              <w:rPr>
                <w:rFonts w:ascii="Arial" w:hAnsi="Arial" w:cs="Arial"/>
                <w:b/>
                <w:sz w:val="24"/>
                <w:szCs w:val="24"/>
              </w:rPr>
              <w:t>,</w:t>
            </w:r>
            <w:r>
              <w:rPr>
                <w:rFonts w:ascii="Arial" w:hAnsi="Arial" w:cs="Arial"/>
                <w:b/>
                <w:sz w:val="24"/>
                <w:szCs w:val="24"/>
              </w:rPr>
              <w:t>995 (8.0%)</w:t>
            </w:r>
          </w:p>
        </w:tc>
        <w:tc>
          <w:tcPr>
            <w:tcW w:w="2585" w:type="dxa"/>
          </w:tcPr>
          <w:p w:rsidR="001539B4" w:rsidRDefault="001539B4" w:rsidP="00085434">
            <w:pPr>
              <w:jc w:val="center"/>
              <w:rPr>
                <w:rFonts w:ascii="Arial" w:hAnsi="Arial" w:cs="Arial"/>
                <w:b/>
                <w:sz w:val="24"/>
                <w:szCs w:val="24"/>
              </w:rPr>
            </w:pPr>
          </w:p>
          <w:p w:rsidR="0082585E" w:rsidRDefault="0082585E" w:rsidP="00085434">
            <w:pPr>
              <w:jc w:val="center"/>
              <w:rPr>
                <w:rFonts w:ascii="Arial" w:hAnsi="Arial" w:cs="Arial"/>
                <w:b/>
                <w:sz w:val="24"/>
                <w:szCs w:val="24"/>
              </w:rPr>
            </w:pPr>
            <w:r>
              <w:rPr>
                <w:rFonts w:ascii="Arial" w:hAnsi="Arial" w:cs="Arial"/>
                <w:b/>
                <w:sz w:val="24"/>
                <w:szCs w:val="24"/>
              </w:rPr>
              <w:t>23</w:t>
            </w:r>
            <w:r w:rsidR="007D44FC">
              <w:rPr>
                <w:rFonts w:ascii="Arial" w:hAnsi="Arial" w:cs="Arial"/>
                <w:b/>
                <w:sz w:val="24"/>
                <w:szCs w:val="24"/>
              </w:rPr>
              <w:t>,</w:t>
            </w:r>
            <w:r>
              <w:rPr>
                <w:rFonts w:ascii="Arial" w:hAnsi="Arial" w:cs="Arial"/>
                <w:b/>
                <w:sz w:val="24"/>
                <w:szCs w:val="24"/>
              </w:rPr>
              <w:t>052 (92.0%)</w:t>
            </w:r>
          </w:p>
        </w:tc>
        <w:tc>
          <w:tcPr>
            <w:tcW w:w="2191" w:type="dxa"/>
          </w:tcPr>
          <w:p w:rsidR="001539B4" w:rsidRDefault="001539B4" w:rsidP="00085434">
            <w:pPr>
              <w:jc w:val="center"/>
              <w:rPr>
                <w:rFonts w:ascii="Arial" w:hAnsi="Arial" w:cs="Arial"/>
                <w:b/>
                <w:sz w:val="24"/>
                <w:szCs w:val="24"/>
              </w:rPr>
            </w:pPr>
          </w:p>
          <w:p w:rsidR="0082585E" w:rsidRDefault="0082585E" w:rsidP="00085434">
            <w:pPr>
              <w:jc w:val="center"/>
              <w:rPr>
                <w:rFonts w:ascii="Arial" w:hAnsi="Arial" w:cs="Arial"/>
                <w:b/>
                <w:sz w:val="24"/>
                <w:szCs w:val="24"/>
              </w:rPr>
            </w:pPr>
            <w:r>
              <w:rPr>
                <w:rFonts w:ascii="Arial" w:hAnsi="Arial" w:cs="Arial"/>
                <w:b/>
                <w:sz w:val="24"/>
                <w:szCs w:val="24"/>
              </w:rPr>
              <w:t>25</w:t>
            </w:r>
            <w:r w:rsidR="007D44FC">
              <w:rPr>
                <w:rFonts w:ascii="Arial" w:hAnsi="Arial" w:cs="Arial"/>
                <w:b/>
                <w:sz w:val="24"/>
                <w:szCs w:val="24"/>
              </w:rPr>
              <w:t>,</w:t>
            </w:r>
            <w:r>
              <w:rPr>
                <w:rFonts w:ascii="Arial" w:hAnsi="Arial" w:cs="Arial"/>
                <w:b/>
                <w:sz w:val="24"/>
                <w:szCs w:val="24"/>
              </w:rPr>
              <w:t>047</w:t>
            </w:r>
          </w:p>
        </w:tc>
      </w:tr>
    </w:tbl>
    <w:p w:rsidR="001539B4" w:rsidRDefault="001539B4" w:rsidP="001539B4">
      <w:pPr>
        <w:rPr>
          <w:rFonts w:ascii="Arial" w:hAnsi="Arial" w:cs="Arial"/>
          <w:sz w:val="24"/>
          <w:szCs w:val="24"/>
        </w:rPr>
      </w:pPr>
    </w:p>
    <w:p w:rsidR="0082585E" w:rsidRPr="0082585E" w:rsidRDefault="0082585E" w:rsidP="0082585E">
      <w:pPr>
        <w:rPr>
          <w:rFonts w:ascii="Arial" w:hAnsi="Arial" w:cs="Arial"/>
          <w:sz w:val="24"/>
          <w:szCs w:val="24"/>
        </w:rPr>
      </w:pPr>
      <w:r w:rsidRPr="0082585E">
        <w:rPr>
          <w:rFonts w:ascii="Arial" w:hAnsi="Arial" w:cs="Arial"/>
          <w:sz w:val="24"/>
          <w:szCs w:val="24"/>
        </w:rPr>
        <w:t xml:space="preserve">The following chart illustrates the percentage of learners in each school who considered themselves as having a learning difficulty </w:t>
      </w:r>
      <w:r>
        <w:rPr>
          <w:rFonts w:ascii="Arial" w:hAnsi="Arial" w:cs="Arial"/>
          <w:sz w:val="24"/>
          <w:szCs w:val="24"/>
        </w:rPr>
        <w:t>and/</w:t>
      </w:r>
      <w:r w:rsidRPr="0082585E">
        <w:rPr>
          <w:rFonts w:ascii="Arial" w:hAnsi="Arial" w:cs="Arial"/>
          <w:sz w:val="24"/>
          <w:szCs w:val="24"/>
        </w:rPr>
        <w:t>or dis</w:t>
      </w:r>
      <w:r>
        <w:rPr>
          <w:rFonts w:ascii="Arial" w:hAnsi="Arial" w:cs="Arial"/>
          <w:sz w:val="24"/>
          <w:szCs w:val="24"/>
        </w:rPr>
        <w:t>ability:</w:t>
      </w:r>
    </w:p>
    <w:p w:rsidR="0082585E" w:rsidRPr="007E1624" w:rsidRDefault="002A6F57" w:rsidP="0082585E">
      <w:pPr>
        <w:jc w:val="center"/>
        <w:rPr>
          <w:rFonts w:ascii="Arial" w:hAnsi="Arial" w:cs="Arial"/>
        </w:rPr>
      </w:pPr>
      <w:r w:rsidRPr="002A6F57">
        <w:rPr>
          <w:rFonts w:ascii="Arial" w:hAnsi="Arial" w:cs="Arial"/>
          <w:noProof/>
        </w:rPr>
        <w:drawing>
          <wp:inline distT="0" distB="0" distL="0" distR="0">
            <wp:extent cx="4676775" cy="2800350"/>
            <wp:effectExtent l="19050" t="0" r="0" b="0"/>
            <wp:docPr id="5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82585E" w:rsidRPr="007E1624" w:rsidRDefault="0082585E" w:rsidP="0082585E">
      <w:pPr>
        <w:jc w:val="center"/>
        <w:rPr>
          <w:rFonts w:ascii="Arial" w:hAnsi="Arial" w:cs="Arial"/>
          <w:noProof/>
        </w:rPr>
      </w:pPr>
    </w:p>
    <w:p w:rsidR="0082585E" w:rsidRPr="007E1624" w:rsidRDefault="0082585E" w:rsidP="0082585E">
      <w:pPr>
        <w:jc w:val="center"/>
        <w:rPr>
          <w:rFonts w:ascii="Arial" w:hAnsi="Arial" w:cs="Arial"/>
          <w:noProof/>
        </w:rPr>
      </w:pPr>
    </w:p>
    <w:p w:rsidR="0082585E" w:rsidRPr="007D3540" w:rsidRDefault="0082585E" w:rsidP="0082585E">
      <w:pPr>
        <w:rPr>
          <w:rFonts w:ascii="Arial" w:hAnsi="Arial" w:cs="Arial"/>
          <w:sz w:val="24"/>
          <w:szCs w:val="24"/>
        </w:rPr>
      </w:pPr>
      <w:r w:rsidRPr="007D3540">
        <w:rPr>
          <w:rFonts w:ascii="Arial" w:hAnsi="Arial" w:cs="Arial"/>
          <w:sz w:val="24"/>
          <w:szCs w:val="24"/>
        </w:rPr>
        <w:t xml:space="preserve">It can be seen that for 2009-2010 the highest percentage of learners with learning difficulties/disabilities </w:t>
      </w:r>
      <w:r w:rsidR="007D44FC">
        <w:rPr>
          <w:rFonts w:ascii="Arial" w:hAnsi="Arial" w:cs="Arial"/>
          <w:sz w:val="24"/>
          <w:szCs w:val="24"/>
        </w:rPr>
        <w:t>are</w:t>
      </w:r>
      <w:r w:rsidRPr="007D3540">
        <w:rPr>
          <w:rFonts w:ascii="Arial" w:hAnsi="Arial" w:cs="Arial"/>
          <w:sz w:val="24"/>
          <w:szCs w:val="24"/>
        </w:rPr>
        <w:t xml:space="preserve"> without doubt in the School of Pre</w:t>
      </w:r>
      <w:r w:rsidR="007D44FC">
        <w:rPr>
          <w:rFonts w:ascii="Arial" w:hAnsi="Arial" w:cs="Arial"/>
          <w:sz w:val="24"/>
          <w:szCs w:val="24"/>
        </w:rPr>
        <w:t>-</w:t>
      </w:r>
      <w:r w:rsidRPr="007D3540">
        <w:rPr>
          <w:rFonts w:ascii="Arial" w:hAnsi="Arial" w:cs="Arial"/>
          <w:sz w:val="24"/>
          <w:szCs w:val="24"/>
        </w:rPr>
        <w:t>Vocational Studies. The next largest group of learners with learning difficulties</w:t>
      </w:r>
      <w:r w:rsidR="002A6F57">
        <w:rPr>
          <w:rFonts w:ascii="Arial" w:hAnsi="Arial" w:cs="Arial"/>
          <w:sz w:val="24"/>
          <w:szCs w:val="24"/>
        </w:rPr>
        <w:t xml:space="preserve"> and disabilities falls in the category of UFI (</w:t>
      </w:r>
      <w:proofErr w:type="spellStart"/>
      <w:r w:rsidR="002A6F57">
        <w:rPr>
          <w:rFonts w:ascii="Arial" w:hAnsi="Arial" w:cs="Arial"/>
          <w:sz w:val="24"/>
          <w:szCs w:val="24"/>
        </w:rPr>
        <w:t>LearnDirect</w:t>
      </w:r>
      <w:proofErr w:type="spellEnd"/>
      <w:r w:rsidR="002A6F57">
        <w:rPr>
          <w:rFonts w:ascii="Arial" w:hAnsi="Arial" w:cs="Arial"/>
          <w:sz w:val="24"/>
          <w:szCs w:val="24"/>
        </w:rPr>
        <w:t>) and then CIT</w:t>
      </w:r>
      <w:r w:rsidRPr="007D3540">
        <w:rPr>
          <w:rFonts w:ascii="Arial" w:hAnsi="Arial" w:cs="Arial"/>
          <w:sz w:val="24"/>
          <w:szCs w:val="24"/>
        </w:rPr>
        <w:t>.</w:t>
      </w:r>
    </w:p>
    <w:p w:rsidR="00530F63" w:rsidRDefault="00530F63" w:rsidP="0082585E">
      <w:pPr>
        <w:rPr>
          <w:rFonts w:ascii="Arial" w:hAnsi="Arial" w:cs="Arial"/>
          <w:sz w:val="24"/>
          <w:szCs w:val="24"/>
        </w:rPr>
      </w:pPr>
    </w:p>
    <w:p w:rsidR="00530F63" w:rsidRDefault="00530F63" w:rsidP="0082585E">
      <w:pPr>
        <w:rPr>
          <w:rFonts w:ascii="Arial" w:hAnsi="Arial" w:cs="Arial"/>
          <w:sz w:val="24"/>
          <w:szCs w:val="24"/>
        </w:rPr>
      </w:pPr>
    </w:p>
    <w:p w:rsidR="00530F63" w:rsidRDefault="00530F63" w:rsidP="0082585E">
      <w:pPr>
        <w:rPr>
          <w:rFonts w:ascii="Arial" w:hAnsi="Arial" w:cs="Arial"/>
          <w:sz w:val="24"/>
          <w:szCs w:val="24"/>
        </w:rPr>
      </w:pPr>
    </w:p>
    <w:p w:rsidR="00530F63" w:rsidRDefault="00530F63" w:rsidP="0082585E">
      <w:pPr>
        <w:rPr>
          <w:rFonts w:ascii="Arial" w:hAnsi="Arial" w:cs="Arial"/>
          <w:sz w:val="24"/>
          <w:szCs w:val="24"/>
        </w:rPr>
      </w:pPr>
    </w:p>
    <w:p w:rsidR="00530F63" w:rsidRDefault="00530F63" w:rsidP="0082585E">
      <w:pPr>
        <w:rPr>
          <w:rFonts w:ascii="Arial" w:hAnsi="Arial" w:cs="Arial"/>
          <w:sz w:val="24"/>
          <w:szCs w:val="24"/>
        </w:rPr>
      </w:pPr>
    </w:p>
    <w:p w:rsidR="00530F63" w:rsidRDefault="00530F63" w:rsidP="0082585E">
      <w:pPr>
        <w:rPr>
          <w:rFonts w:ascii="Arial" w:hAnsi="Arial" w:cs="Arial"/>
          <w:sz w:val="24"/>
          <w:szCs w:val="24"/>
        </w:rPr>
      </w:pPr>
    </w:p>
    <w:p w:rsidR="00530F63" w:rsidRDefault="00530F63" w:rsidP="0082585E">
      <w:pPr>
        <w:rPr>
          <w:rFonts w:ascii="Arial" w:hAnsi="Arial" w:cs="Arial"/>
          <w:sz w:val="24"/>
          <w:szCs w:val="24"/>
        </w:rPr>
      </w:pPr>
    </w:p>
    <w:p w:rsidR="00530F63" w:rsidRDefault="00530F63" w:rsidP="0082585E">
      <w:pPr>
        <w:rPr>
          <w:rFonts w:ascii="Arial" w:hAnsi="Arial" w:cs="Arial"/>
          <w:sz w:val="24"/>
          <w:szCs w:val="24"/>
        </w:rPr>
      </w:pPr>
    </w:p>
    <w:p w:rsidR="00530F63" w:rsidRDefault="00530F63" w:rsidP="0082585E">
      <w:pPr>
        <w:rPr>
          <w:rFonts w:ascii="Arial" w:hAnsi="Arial" w:cs="Arial"/>
          <w:sz w:val="24"/>
          <w:szCs w:val="24"/>
        </w:rPr>
      </w:pPr>
    </w:p>
    <w:p w:rsidR="00530F63" w:rsidRDefault="00530F63" w:rsidP="0082585E">
      <w:pPr>
        <w:rPr>
          <w:rFonts w:ascii="Arial" w:hAnsi="Arial" w:cs="Arial"/>
          <w:sz w:val="24"/>
          <w:szCs w:val="24"/>
        </w:rPr>
      </w:pPr>
    </w:p>
    <w:p w:rsidR="00530F63" w:rsidRDefault="00530F63" w:rsidP="0082585E">
      <w:pPr>
        <w:rPr>
          <w:rFonts w:ascii="Arial" w:hAnsi="Arial" w:cs="Arial"/>
          <w:sz w:val="24"/>
          <w:szCs w:val="24"/>
        </w:rPr>
      </w:pPr>
    </w:p>
    <w:p w:rsidR="0082585E" w:rsidRPr="007D3540" w:rsidRDefault="0082585E" w:rsidP="0082585E">
      <w:pPr>
        <w:rPr>
          <w:rFonts w:ascii="Arial" w:hAnsi="Arial" w:cs="Arial"/>
          <w:sz w:val="24"/>
          <w:szCs w:val="24"/>
        </w:rPr>
      </w:pPr>
      <w:r w:rsidRPr="007D3540">
        <w:rPr>
          <w:rFonts w:ascii="Arial" w:hAnsi="Arial" w:cs="Arial"/>
          <w:sz w:val="24"/>
          <w:szCs w:val="24"/>
        </w:rPr>
        <w:t>The following chart illustrates the retention, attainment and success of males with learning difficulties/disabilities compared to males without learning difficulties/ disabilities</w:t>
      </w:r>
      <w:r w:rsidR="007D44FC">
        <w:rPr>
          <w:rFonts w:ascii="Arial" w:hAnsi="Arial" w:cs="Arial"/>
          <w:sz w:val="24"/>
          <w:szCs w:val="24"/>
        </w:rPr>
        <w:t>:</w:t>
      </w:r>
    </w:p>
    <w:p w:rsidR="0082585E" w:rsidRPr="007E1624" w:rsidRDefault="00210714" w:rsidP="00210714">
      <w:pPr>
        <w:jc w:val="center"/>
        <w:rPr>
          <w:rFonts w:ascii="Arial" w:hAnsi="Arial" w:cs="Arial"/>
        </w:rPr>
      </w:pPr>
      <w:r w:rsidRPr="00210714">
        <w:rPr>
          <w:rFonts w:ascii="Arial" w:hAnsi="Arial" w:cs="Arial"/>
          <w:noProof/>
        </w:rPr>
        <w:drawing>
          <wp:inline distT="0" distB="0" distL="0" distR="0">
            <wp:extent cx="4572000" cy="2743200"/>
            <wp:effectExtent l="19050" t="0" r="0" b="0"/>
            <wp:docPr id="9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82585E" w:rsidRPr="007E1624" w:rsidRDefault="0082585E" w:rsidP="0082585E">
      <w:pPr>
        <w:jc w:val="center"/>
        <w:rPr>
          <w:rFonts w:ascii="Arial" w:hAnsi="Arial" w:cs="Arial"/>
          <w:noProof/>
        </w:rPr>
      </w:pPr>
    </w:p>
    <w:p w:rsidR="0082585E" w:rsidRPr="007E1624" w:rsidRDefault="0082585E" w:rsidP="0082585E">
      <w:pPr>
        <w:jc w:val="center"/>
        <w:rPr>
          <w:rFonts w:ascii="Arial" w:hAnsi="Arial" w:cs="Arial"/>
          <w:noProof/>
        </w:rPr>
      </w:pPr>
    </w:p>
    <w:p w:rsidR="0082585E" w:rsidRPr="007D3540" w:rsidRDefault="0041107B" w:rsidP="007D3540">
      <w:pPr>
        <w:rPr>
          <w:rFonts w:ascii="Arial" w:hAnsi="Arial" w:cs="Arial"/>
          <w:sz w:val="24"/>
          <w:szCs w:val="24"/>
        </w:rPr>
      </w:pPr>
      <w:r>
        <w:rPr>
          <w:rFonts w:ascii="Arial" w:hAnsi="Arial" w:cs="Arial"/>
          <w:sz w:val="24"/>
          <w:szCs w:val="24"/>
        </w:rPr>
        <w:t xml:space="preserve">It can be seen </w:t>
      </w:r>
      <w:r w:rsidR="0082585E" w:rsidRPr="007D3540">
        <w:rPr>
          <w:rFonts w:ascii="Arial" w:hAnsi="Arial" w:cs="Arial"/>
          <w:sz w:val="24"/>
          <w:szCs w:val="24"/>
        </w:rPr>
        <w:t xml:space="preserve">for 2009-2010 that the retention, attainment and success of males with learning difficulties/disabilities slightly exceeds that of males without learning </w:t>
      </w:r>
      <w:r w:rsidR="007D3540">
        <w:rPr>
          <w:rFonts w:ascii="Arial" w:hAnsi="Arial" w:cs="Arial"/>
          <w:sz w:val="24"/>
          <w:szCs w:val="24"/>
        </w:rPr>
        <w:t xml:space="preserve">difficulties and disabilities. </w:t>
      </w:r>
    </w:p>
    <w:p w:rsidR="0082585E" w:rsidRPr="007D3540" w:rsidRDefault="0082585E" w:rsidP="0082585E">
      <w:pPr>
        <w:rPr>
          <w:rFonts w:ascii="Arial" w:hAnsi="Arial" w:cs="Arial"/>
          <w:sz w:val="24"/>
          <w:szCs w:val="24"/>
        </w:rPr>
      </w:pPr>
      <w:r w:rsidRPr="007D3540">
        <w:rPr>
          <w:rFonts w:ascii="Arial" w:hAnsi="Arial" w:cs="Arial"/>
          <w:sz w:val="24"/>
          <w:szCs w:val="24"/>
        </w:rPr>
        <w:t>The following chart illustrates the retention, attainment and success of females with learning difficulties/disabilities compared to females without learning difficulties/ disabilities</w:t>
      </w:r>
    </w:p>
    <w:p w:rsidR="0082585E" w:rsidRPr="007E1624" w:rsidRDefault="00210714" w:rsidP="00210714">
      <w:pPr>
        <w:jc w:val="center"/>
        <w:rPr>
          <w:rFonts w:ascii="Arial" w:hAnsi="Arial" w:cs="Arial"/>
        </w:rPr>
      </w:pPr>
      <w:r w:rsidRPr="00210714">
        <w:rPr>
          <w:rFonts w:ascii="Arial" w:hAnsi="Arial" w:cs="Arial"/>
          <w:noProof/>
        </w:rPr>
        <w:drawing>
          <wp:inline distT="0" distB="0" distL="0" distR="0">
            <wp:extent cx="4572000" cy="2743200"/>
            <wp:effectExtent l="19050" t="0" r="0" b="0"/>
            <wp:docPr id="9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82585E" w:rsidRPr="007E1624" w:rsidRDefault="0082585E" w:rsidP="0082585E">
      <w:pPr>
        <w:jc w:val="center"/>
        <w:rPr>
          <w:rFonts w:ascii="Arial" w:hAnsi="Arial" w:cs="Arial"/>
          <w:noProof/>
        </w:rPr>
      </w:pPr>
    </w:p>
    <w:p w:rsidR="0082585E" w:rsidRDefault="0082585E" w:rsidP="0082585E">
      <w:pPr>
        <w:rPr>
          <w:rFonts w:ascii="Arial" w:hAnsi="Arial" w:cs="Arial"/>
        </w:rPr>
      </w:pPr>
      <w:r w:rsidRPr="007D3540">
        <w:rPr>
          <w:rFonts w:ascii="Arial" w:hAnsi="Arial" w:cs="Arial"/>
          <w:sz w:val="24"/>
          <w:szCs w:val="24"/>
        </w:rPr>
        <w:t>It</w:t>
      </w:r>
      <w:r w:rsidR="007D44FC">
        <w:rPr>
          <w:rFonts w:ascii="Arial" w:hAnsi="Arial" w:cs="Arial"/>
          <w:sz w:val="24"/>
          <w:szCs w:val="24"/>
        </w:rPr>
        <w:t xml:space="preserve"> can be seen that for 2009-2010</w:t>
      </w:r>
      <w:r w:rsidRPr="007D3540">
        <w:rPr>
          <w:rFonts w:ascii="Arial" w:hAnsi="Arial" w:cs="Arial"/>
          <w:sz w:val="24"/>
          <w:szCs w:val="24"/>
        </w:rPr>
        <w:t xml:space="preserve"> the retention, attainment and success of females with learning difficulties/disabilities slightly exceeds that of females without learning difficulties and disabilities</w:t>
      </w:r>
      <w:r w:rsidRPr="007E1624">
        <w:rPr>
          <w:rFonts w:ascii="Arial" w:hAnsi="Arial" w:cs="Arial"/>
        </w:rPr>
        <w:t xml:space="preserve">. </w:t>
      </w:r>
    </w:p>
    <w:p w:rsidR="0082585E" w:rsidRPr="007D3540" w:rsidRDefault="007D3540" w:rsidP="007D3540">
      <w:pPr>
        <w:rPr>
          <w:rFonts w:ascii="Arial" w:hAnsi="Arial" w:cs="Arial"/>
          <w:b/>
          <w:sz w:val="24"/>
          <w:szCs w:val="24"/>
        </w:rPr>
      </w:pPr>
      <w:r w:rsidRPr="007D3540">
        <w:rPr>
          <w:rFonts w:ascii="Arial" w:hAnsi="Arial" w:cs="Arial"/>
          <w:b/>
          <w:sz w:val="24"/>
          <w:szCs w:val="24"/>
        </w:rPr>
        <w:t>Enrolment Trends</w:t>
      </w:r>
    </w:p>
    <w:p w:rsidR="0082585E" w:rsidRPr="007D3540" w:rsidRDefault="0082585E" w:rsidP="0082585E">
      <w:pPr>
        <w:rPr>
          <w:rFonts w:ascii="Arial" w:hAnsi="Arial" w:cs="Arial"/>
          <w:sz w:val="24"/>
          <w:szCs w:val="24"/>
        </w:rPr>
      </w:pPr>
      <w:r w:rsidRPr="007D3540">
        <w:rPr>
          <w:rFonts w:ascii="Arial" w:hAnsi="Arial" w:cs="Arial"/>
          <w:sz w:val="24"/>
          <w:szCs w:val="24"/>
        </w:rPr>
        <w:t>It can be seen that in 2007-2008 the percentage of enrolments for females with disabilities or learning difficulties slightly exceeds that for males with 2.6% compared to 2.0%. The percentage of all enrolments by learners who consider themselves as having a disability or learning difficulty amounts to 2.3%</w:t>
      </w:r>
      <w:r w:rsidR="007D3540">
        <w:rPr>
          <w:rFonts w:ascii="Arial" w:hAnsi="Arial" w:cs="Arial"/>
          <w:sz w:val="24"/>
          <w:szCs w:val="24"/>
        </w:rPr>
        <w:t xml:space="preserve">. </w:t>
      </w:r>
    </w:p>
    <w:p w:rsidR="0082585E" w:rsidRPr="007D3540" w:rsidRDefault="0082585E" w:rsidP="0082585E">
      <w:pPr>
        <w:rPr>
          <w:rFonts w:ascii="Arial" w:hAnsi="Arial" w:cs="Arial"/>
          <w:sz w:val="24"/>
          <w:szCs w:val="24"/>
        </w:rPr>
      </w:pPr>
      <w:r w:rsidRPr="007D3540">
        <w:rPr>
          <w:rFonts w:ascii="Arial" w:hAnsi="Arial" w:cs="Arial"/>
          <w:sz w:val="24"/>
          <w:szCs w:val="24"/>
        </w:rPr>
        <w:t>In 2008- 2009</w:t>
      </w:r>
      <w:r w:rsidR="007D44FC">
        <w:rPr>
          <w:rFonts w:ascii="Arial" w:hAnsi="Arial" w:cs="Arial"/>
          <w:sz w:val="24"/>
          <w:szCs w:val="24"/>
        </w:rPr>
        <w:t>,</w:t>
      </w:r>
      <w:r w:rsidRPr="007D3540">
        <w:rPr>
          <w:rFonts w:ascii="Arial" w:hAnsi="Arial" w:cs="Arial"/>
          <w:sz w:val="24"/>
          <w:szCs w:val="24"/>
        </w:rPr>
        <w:t xml:space="preserve"> the percentage of enrolments for females with disabilities or learning difficulties again slightly outweighs that for males with 8.0% compared to 7.4%. The percentage of all enrolments by learners who consider themselves as having a disability or learni</w:t>
      </w:r>
      <w:r w:rsidR="007D3540">
        <w:rPr>
          <w:rFonts w:ascii="Arial" w:hAnsi="Arial" w:cs="Arial"/>
          <w:sz w:val="24"/>
          <w:szCs w:val="24"/>
        </w:rPr>
        <w:t xml:space="preserve">ng difficulty amounts to 7.7%. </w:t>
      </w:r>
    </w:p>
    <w:p w:rsidR="0082585E" w:rsidRPr="007D3540" w:rsidRDefault="0082585E" w:rsidP="0082585E">
      <w:pPr>
        <w:rPr>
          <w:rFonts w:ascii="Arial" w:hAnsi="Arial" w:cs="Arial"/>
          <w:sz w:val="24"/>
          <w:szCs w:val="24"/>
        </w:rPr>
      </w:pPr>
      <w:r w:rsidRPr="007D3540">
        <w:rPr>
          <w:rFonts w:ascii="Arial" w:hAnsi="Arial" w:cs="Arial"/>
          <w:sz w:val="24"/>
          <w:szCs w:val="24"/>
        </w:rPr>
        <w:t xml:space="preserve">This increase over the previous year could be due not only to an increase in this category of learners but also in the availability of more robust data. </w:t>
      </w:r>
    </w:p>
    <w:p w:rsidR="0082585E" w:rsidRPr="007D3540" w:rsidRDefault="0082585E" w:rsidP="0082585E">
      <w:pPr>
        <w:rPr>
          <w:rFonts w:ascii="Arial" w:hAnsi="Arial" w:cs="Arial"/>
          <w:sz w:val="24"/>
          <w:szCs w:val="24"/>
        </w:rPr>
      </w:pPr>
      <w:r w:rsidRPr="007D3540">
        <w:rPr>
          <w:rFonts w:ascii="Arial" w:hAnsi="Arial" w:cs="Arial"/>
          <w:sz w:val="24"/>
          <w:szCs w:val="24"/>
        </w:rPr>
        <w:t>In 2009-2010</w:t>
      </w:r>
      <w:r w:rsidR="007D44FC">
        <w:rPr>
          <w:rFonts w:ascii="Arial" w:hAnsi="Arial" w:cs="Arial"/>
          <w:sz w:val="24"/>
          <w:szCs w:val="24"/>
        </w:rPr>
        <w:t>,</w:t>
      </w:r>
      <w:r w:rsidRPr="007D3540">
        <w:rPr>
          <w:rFonts w:ascii="Arial" w:hAnsi="Arial" w:cs="Arial"/>
          <w:sz w:val="24"/>
          <w:szCs w:val="24"/>
        </w:rPr>
        <w:t xml:space="preserve"> the percentage of enrolments for males with disabilities or learning difficulties slightly exceeds that for females with 8.8% compared to 7.1%. The percentage of all enrolments by learners considering themselves to have disabilities or learning difficulties amounts to 8.0% which is co</w:t>
      </w:r>
      <w:r w:rsidR="007D3540">
        <w:rPr>
          <w:rFonts w:ascii="Arial" w:hAnsi="Arial" w:cs="Arial"/>
          <w:sz w:val="24"/>
          <w:szCs w:val="24"/>
        </w:rPr>
        <w:t xml:space="preserve">mparable to the previous year. </w:t>
      </w:r>
    </w:p>
    <w:p w:rsidR="0082585E" w:rsidRPr="007D3540" w:rsidRDefault="0082585E" w:rsidP="0082585E">
      <w:pPr>
        <w:rPr>
          <w:rFonts w:ascii="Arial" w:hAnsi="Arial" w:cs="Arial"/>
          <w:sz w:val="24"/>
          <w:szCs w:val="24"/>
        </w:rPr>
      </w:pPr>
      <w:r w:rsidRPr="007D3540">
        <w:rPr>
          <w:rFonts w:ascii="Arial" w:hAnsi="Arial" w:cs="Arial"/>
          <w:sz w:val="24"/>
          <w:szCs w:val="24"/>
        </w:rPr>
        <w:t>As we would expect</w:t>
      </w:r>
      <w:r w:rsidR="007D44FC">
        <w:rPr>
          <w:rFonts w:ascii="Arial" w:hAnsi="Arial" w:cs="Arial"/>
          <w:sz w:val="24"/>
          <w:szCs w:val="24"/>
        </w:rPr>
        <w:t>,</w:t>
      </w:r>
      <w:r w:rsidRPr="007D3540">
        <w:rPr>
          <w:rFonts w:ascii="Arial" w:hAnsi="Arial" w:cs="Arial"/>
          <w:sz w:val="24"/>
          <w:szCs w:val="24"/>
        </w:rPr>
        <w:t xml:space="preserve"> the largest percentage of learners with disabilities or learning difficulties is found in the Sch</w:t>
      </w:r>
      <w:r w:rsidR="007D3540">
        <w:rPr>
          <w:rFonts w:ascii="Arial" w:hAnsi="Arial" w:cs="Arial"/>
          <w:sz w:val="24"/>
          <w:szCs w:val="24"/>
        </w:rPr>
        <w:t>ool of Pre</w:t>
      </w:r>
      <w:r w:rsidR="007D44FC">
        <w:rPr>
          <w:rFonts w:ascii="Arial" w:hAnsi="Arial" w:cs="Arial"/>
          <w:sz w:val="24"/>
          <w:szCs w:val="24"/>
        </w:rPr>
        <w:t>-</w:t>
      </w:r>
      <w:r w:rsidR="007D3540">
        <w:rPr>
          <w:rFonts w:ascii="Arial" w:hAnsi="Arial" w:cs="Arial"/>
          <w:sz w:val="24"/>
          <w:szCs w:val="24"/>
        </w:rPr>
        <w:t xml:space="preserve">Vocational Studies. </w:t>
      </w:r>
    </w:p>
    <w:p w:rsidR="0082585E" w:rsidRPr="007D3540" w:rsidRDefault="0082585E" w:rsidP="0082585E">
      <w:pPr>
        <w:rPr>
          <w:rFonts w:ascii="Arial" w:hAnsi="Arial" w:cs="Arial"/>
          <w:sz w:val="24"/>
          <w:szCs w:val="24"/>
        </w:rPr>
      </w:pPr>
      <w:r w:rsidRPr="007D3540">
        <w:rPr>
          <w:rFonts w:ascii="Arial" w:hAnsi="Arial" w:cs="Arial"/>
          <w:sz w:val="24"/>
          <w:szCs w:val="24"/>
        </w:rPr>
        <w:t>In all years in question</w:t>
      </w:r>
      <w:r w:rsidR="007D44FC">
        <w:rPr>
          <w:rFonts w:ascii="Arial" w:hAnsi="Arial" w:cs="Arial"/>
          <w:sz w:val="24"/>
          <w:szCs w:val="24"/>
        </w:rPr>
        <w:t>,</w:t>
      </w:r>
      <w:r w:rsidRPr="007D3540">
        <w:rPr>
          <w:rFonts w:ascii="Arial" w:hAnsi="Arial" w:cs="Arial"/>
          <w:sz w:val="24"/>
          <w:szCs w:val="24"/>
        </w:rPr>
        <w:t xml:space="preserve"> it was seen that learners with learning difficulties and disabilities have a slightly greater level of attainment and success than those without learning difficulties and di</w:t>
      </w:r>
      <w:r w:rsidR="007D3540">
        <w:rPr>
          <w:rFonts w:ascii="Arial" w:hAnsi="Arial" w:cs="Arial"/>
          <w:sz w:val="24"/>
          <w:szCs w:val="24"/>
        </w:rPr>
        <w:t xml:space="preserve">sabilities. </w:t>
      </w:r>
    </w:p>
    <w:p w:rsidR="0082585E" w:rsidRPr="007D3540" w:rsidRDefault="0082585E" w:rsidP="0082585E">
      <w:pPr>
        <w:rPr>
          <w:rFonts w:ascii="Arial" w:hAnsi="Arial" w:cs="Arial"/>
          <w:sz w:val="24"/>
          <w:szCs w:val="24"/>
        </w:rPr>
      </w:pPr>
      <w:r w:rsidRPr="007D3540">
        <w:rPr>
          <w:rFonts w:ascii="Arial" w:hAnsi="Arial" w:cs="Arial"/>
          <w:sz w:val="24"/>
          <w:szCs w:val="24"/>
        </w:rPr>
        <w:t>The data only provides information for learners who considered themselves at enrolment to have a learning difficulty and/or disability. It is unclear whether any subsequent information gleaned on the Learner Health Statement is then used to update the information stored on QL. The nature of certain disabilities may mean that a learner is regarded as disabled for s</w:t>
      </w:r>
      <w:r w:rsidR="007D3540">
        <w:rPr>
          <w:rFonts w:ascii="Arial" w:hAnsi="Arial" w:cs="Arial"/>
          <w:sz w:val="24"/>
          <w:szCs w:val="24"/>
        </w:rPr>
        <w:t xml:space="preserve">ome programmes and not others. </w:t>
      </w:r>
    </w:p>
    <w:p w:rsidR="0082585E" w:rsidRPr="007D3540" w:rsidRDefault="0082585E" w:rsidP="0082585E">
      <w:pPr>
        <w:rPr>
          <w:rFonts w:ascii="Arial" w:hAnsi="Arial" w:cs="Arial"/>
          <w:sz w:val="24"/>
          <w:szCs w:val="24"/>
        </w:rPr>
      </w:pPr>
      <w:r w:rsidRPr="007D3540">
        <w:rPr>
          <w:rFonts w:ascii="Arial" w:hAnsi="Arial" w:cs="Arial"/>
          <w:sz w:val="24"/>
          <w:szCs w:val="24"/>
        </w:rPr>
        <w:t>It is recommended that a database be set up to track the information held by the IES staff that can then link</w:t>
      </w:r>
      <w:r w:rsidR="0041107B">
        <w:rPr>
          <w:rFonts w:ascii="Arial" w:hAnsi="Arial" w:cs="Arial"/>
          <w:sz w:val="24"/>
          <w:szCs w:val="24"/>
        </w:rPr>
        <w:t xml:space="preserve"> with QL to produce more detailed</w:t>
      </w:r>
      <w:r w:rsidRPr="007D3540">
        <w:rPr>
          <w:rFonts w:ascii="Arial" w:hAnsi="Arial" w:cs="Arial"/>
          <w:sz w:val="24"/>
          <w:szCs w:val="24"/>
        </w:rPr>
        <w:t xml:space="preserve"> reports on retention, attainment and success related to specific learning difficulties and disabilities. This will then enable the </w:t>
      </w:r>
      <w:r w:rsidR="007D44FC">
        <w:rPr>
          <w:rFonts w:ascii="Arial" w:hAnsi="Arial" w:cs="Arial"/>
          <w:sz w:val="24"/>
          <w:szCs w:val="24"/>
        </w:rPr>
        <w:t>C</w:t>
      </w:r>
      <w:r w:rsidRPr="007D3540">
        <w:rPr>
          <w:rFonts w:ascii="Arial" w:hAnsi="Arial" w:cs="Arial"/>
          <w:sz w:val="24"/>
          <w:szCs w:val="24"/>
        </w:rPr>
        <w:t xml:space="preserve">ollege to target appropriate support to particular groups of learners. </w:t>
      </w:r>
    </w:p>
    <w:p w:rsidR="0082585E" w:rsidRDefault="0082585E" w:rsidP="0082585E">
      <w:pPr>
        <w:rPr>
          <w:rFonts w:ascii="Arial" w:hAnsi="Arial" w:cs="Arial"/>
        </w:rPr>
      </w:pPr>
    </w:p>
    <w:p w:rsidR="00A84ED8" w:rsidRDefault="00A84ED8" w:rsidP="0082585E">
      <w:pPr>
        <w:rPr>
          <w:rFonts w:ascii="Arial" w:hAnsi="Arial" w:cs="Arial"/>
        </w:rPr>
      </w:pPr>
    </w:p>
    <w:p w:rsidR="00A84ED8" w:rsidRDefault="00A84ED8" w:rsidP="0082585E">
      <w:pPr>
        <w:rPr>
          <w:rFonts w:ascii="Arial" w:hAnsi="Arial" w:cs="Arial"/>
        </w:rPr>
      </w:pPr>
    </w:p>
    <w:p w:rsidR="00A84ED8" w:rsidRDefault="004749C7" w:rsidP="00A84ED8">
      <w:pPr>
        <w:rPr>
          <w:rFonts w:ascii="Arial" w:hAnsi="Arial" w:cs="Arial"/>
          <w:b/>
          <w:sz w:val="24"/>
          <w:szCs w:val="24"/>
        </w:rPr>
      </w:pPr>
      <w:r>
        <w:rPr>
          <w:rFonts w:ascii="Arial" w:hAnsi="Arial" w:cs="Arial"/>
          <w:b/>
          <w:sz w:val="24"/>
          <w:szCs w:val="24"/>
        </w:rPr>
        <w:t>Analysis of D</w:t>
      </w:r>
      <w:r w:rsidR="00A84ED8" w:rsidRPr="00A84ED8">
        <w:rPr>
          <w:rFonts w:ascii="Arial" w:hAnsi="Arial" w:cs="Arial"/>
          <w:b/>
          <w:sz w:val="24"/>
          <w:szCs w:val="24"/>
        </w:rPr>
        <w:t>ata for Welsh Speakers</w:t>
      </w:r>
    </w:p>
    <w:p w:rsidR="00A84ED8" w:rsidRPr="00A84ED8" w:rsidRDefault="00A84ED8" w:rsidP="00A84ED8">
      <w:pPr>
        <w:rPr>
          <w:rFonts w:ascii="Arial" w:hAnsi="Arial" w:cs="Arial"/>
          <w:b/>
          <w:sz w:val="24"/>
          <w:szCs w:val="24"/>
        </w:rPr>
      </w:pPr>
    </w:p>
    <w:p w:rsidR="00A84ED8" w:rsidRPr="00A84ED8" w:rsidRDefault="00A84ED8" w:rsidP="00A84ED8">
      <w:pPr>
        <w:rPr>
          <w:rFonts w:ascii="Arial" w:hAnsi="Arial" w:cs="Arial"/>
          <w:b/>
          <w:sz w:val="24"/>
          <w:szCs w:val="24"/>
        </w:rPr>
      </w:pPr>
      <w:r w:rsidRPr="00A84ED8">
        <w:rPr>
          <w:rFonts w:ascii="Arial" w:hAnsi="Arial" w:cs="Arial"/>
          <w:b/>
          <w:sz w:val="24"/>
          <w:szCs w:val="24"/>
        </w:rPr>
        <w:t>2007-2008</w:t>
      </w:r>
    </w:p>
    <w:p w:rsidR="00A84ED8" w:rsidRPr="00A84ED8" w:rsidRDefault="00A84ED8" w:rsidP="00A84ED8">
      <w:pPr>
        <w:rPr>
          <w:rFonts w:ascii="Arial" w:hAnsi="Arial" w:cs="Arial"/>
          <w:sz w:val="24"/>
          <w:szCs w:val="24"/>
        </w:rPr>
      </w:pPr>
      <w:r w:rsidRPr="00A84ED8">
        <w:rPr>
          <w:rFonts w:ascii="Arial" w:hAnsi="Arial" w:cs="Arial"/>
          <w:sz w:val="24"/>
          <w:szCs w:val="24"/>
        </w:rPr>
        <w:t>The table below identifies the number of enrolments attributed to Welsh speakers compared to those from non</w:t>
      </w:r>
      <w:r w:rsidR="007D44FC">
        <w:rPr>
          <w:rFonts w:ascii="Arial" w:hAnsi="Arial" w:cs="Arial"/>
          <w:sz w:val="24"/>
          <w:szCs w:val="24"/>
        </w:rPr>
        <w:t>-</w:t>
      </w:r>
      <w:r w:rsidRPr="00A84ED8">
        <w:rPr>
          <w:rFonts w:ascii="Arial" w:hAnsi="Arial" w:cs="Arial"/>
          <w:sz w:val="24"/>
          <w:szCs w:val="24"/>
        </w:rPr>
        <w:t>Welsh speakers in 2007-2008</w:t>
      </w:r>
      <w:r w:rsidR="007D44FC">
        <w:rPr>
          <w:rFonts w:ascii="Arial" w:hAnsi="Arial" w:cs="Arial"/>
          <w:sz w:val="24"/>
          <w:szCs w:val="24"/>
        </w:rPr>
        <w:t>:</w:t>
      </w:r>
    </w:p>
    <w:p w:rsidR="00A84ED8" w:rsidRPr="00A84ED8" w:rsidRDefault="00A84ED8" w:rsidP="00A84ED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2273"/>
        <w:gridCol w:w="2273"/>
        <w:gridCol w:w="1811"/>
      </w:tblGrid>
      <w:tr w:rsidR="00A84ED8" w:rsidRPr="00A84ED8" w:rsidTr="00A84ED8">
        <w:tc>
          <w:tcPr>
            <w:tcW w:w="2165" w:type="dxa"/>
            <w:shd w:val="clear" w:color="auto" w:fill="F2DBDB" w:themeFill="accent2" w:themeFillTint="33"/>
          </w:tcPr>
          <w:p w:rsidR="00A84ED8" w:rsidRPr="00A84ED8" w:rsidRDefault="00A84ED8" w:rsidP="00085434">
            <w:pPr>
              <w:rPr>
                <w:rFonts w:ascii="Arial" w:hAnsi="Arial" w:cs="Arial"/>
                <w:sz w:val="24"/>
                <w:szCs w:val="24"/>
              </w:rPr>
            </w:pPr>
          </w:p>
        </w:tc>
        <w:tc>
          <w:tcPr>
            <w:tcW w:w="2273" w:type="dxa"/>
            <w:shd w:val="clear" w:color="auto" w:fill="F2DBDB" w:themeFill="accent2" w:themeFillTint="33"/>
          </w:tcPr>
          <w:p w:rsidR="00A84ED8" w:rsidRPr="00A84ED8" w:rsidRDefault="00A84ED8" w:rsidP="00085434">
            <w:pPr>
              <w:rPr>
                <w:rFonts w:ascii="Arial" w:hAnsi="Arial" w:cs="Arial"/>
                <w:sz w:val="24"/>
                <w:szCs w:val="24"/>
              </w:rPr>
            </w:pPr>
            <w:r w:rsidRPr="00A84ED8">
              <w:rPr>
                <w:rFonts w:ascii="Arial" w:hAnsi="Arial" w:cs="Arial"/>
                <w:sz w:val="24"/>
                <w:szCs w:val="24"/>
              </w:rPr>
              <w:t>Number of enrolments for Welsh speakers</w:t>
            </w:r>
          </w:p>
        </w:tc>
        <w:tc>
          <w:tcPr>
            <w:tcW w:w="2273" w:type="dxa"/>
            <w:shd w:val="clear" w:color="auto" w:fill="F2DBDB" w:themeFill="accent2" w:themeFillTint="33"/>
          </w:tcPr>
          <w:p w:rsidR="00A84ED8" w:rsidRPr="00A84ED8" w:rsidRDefault="00A84ED8" w:rsidP="00085434">
            <w:pPr>
              <w:rPr>
                <w:rFonts w:ascii="Arial" w:hAnsi="Arial" w:cs="Arial"/>
                <w:sz w:val="24"/>
                <w:szCs w:val="24"/>
              </w:rPr>
            </w:pPr>
            <w:r w:rsidRPr="00A84ED8">
              <w:rPr>
                <w:rFonts w:ascii="Arial" w:hAnsi="Arial" w:cs="Arial"/>
                <w:sz w:val="24"/>
                <w:szCs w:val="24"/>
              </w:rPr>
              <w:t>Number of enrolments from non</w:t>
            </w:r>
            <w:r w:rsidR="0052241E">
              <w:rPr>
                <w:rFonts w:ascii="Arial" w:hAnsi="Arial" w:cs="Arial"/>
                <w:sz w:val="24"/>
                <w:szCs w:val="24"/>
              </w:rPr>
              <w:t>-</w:t>
            </w:r>
            <w:r w:rsidRPr="00A84ED8">
              <w:rPr>
                <w:rFonts w:ascii="Arial" w:hAnsi="Arial" w:cs="Arial"/>
                <w:sz w:val="24"/>
                <w:szCs w:val="24"/>
              </w:rPr>
              <w:t>Welsh speakers</w:t>
            </w:r>
          </w:p>
        </w:tc>
        <w:tc>
          <w:tcPr>
            <w:tcW w:w="1811" w:type="dxa"/>
            <w:shd w:val="clear" w:color="auto" w:fill="F2DBDB" w:themeFill="accent2" w:themeFillTint="33"/>
          </w:tcPr>
          <w:p w:rsidR="00A84ED8" w:rsidRPr="00A84ED8" w:rsidRDefault="00A84ED8" w:rsidP="00085434">
            <w:pPr>
              <w:rPr>
                <w:rFonts w:ascii="Arial" w:hAnsi="Arial" w:cs="Arial"/>
                <w:sz w:val="24"/>
                <w:szCs w:val="24"/>
              </w:rPr>
            </w:pPr>
            <w:r w:rsidRPr="00A84ED8">
              <w:rPr>
                <w:rFonts w:ascii="Arial" w:hAnsi="Arial" w:cs="Arial"/>
                <w:sz w:val="24"/>
                <w:szCs w:val="24"/>
              </w:rPr>
              <w:t>Percentage of enrolments attributed to Welsh speakers</w:t>
            </w:r>
          </w:p>
        </w:tc>
      </w:tr>
      <w:tr w:rsidR="00A84ED8" w:rsidRPr="00A84ED8" w:rsidTr="00A84ED8">
        <w:tc>
          <w:tcPr>
            <w:tcW w:w="2165" w:type="dxa"/>
            <w:shd w:val="clear" w:color="auto" w:fill="F2DBDB" w:themeFill="accent2" w:themeFillTint="33"/>
          </w:tcPr>
          <w:p w:rsidR="00A84ED8" w:rsidRPr="00A84ED8" w:rsidRDefault="00A84ED8" w:rsidP="00085434">
            <w:pPr>
              <w:rPr>
                <w:rFonts w:ascii="Arial" w:hAnsi="Arial" w:cs="Arial"/>
                <w:sz w:val="24"/>
                <w:szCs w:val="24"/>
              </w:rPr>
            </w:pPr>
            <w:r w:rsidRPr="00A84ED8">
              <w:rPr>
                <w:rFonts w:ascii="Arial" w:hAnsi="Arial" w:cs="Arial"/>
                <w:sz w:val="24"/>
                <w:szCs w:val="24"/>
              </w:rPr>
              <w:t>Males</w:t>
            </w:r>
          </w:p>
        </w:tc>
        <w:tc>
          <w:tcPr>
            <w:tcW w:w="2273" w:type="dxa"/>
          </w:tcPr>
          <w:p w:rsidR="00A84ED8" w:rsidRPr="00A84ED8" w:rsidRDefault="00A84ED8" w:rsidP="00085434">
            <w:pPr>
              <w:rPr>
                <w:rFonts w:ascii="Arial" w:hAnsi="Arial" w:cs="Arial"/>
                <w:sz w:val="24"/>
                <w:szCs w:val="24"/>
              </w:rPr>
            </w:pPr>
            <w:r w:rsidRPr="00A84ED8">
              <w:rPr>
                <w:rFonts w:ascii="Arial" w:hAnsi="Arial" w:cs="Arial"/>
                <w:sz w:val="24"/>
                <w:szCs w:val="24"/>
              </w:rPr>
              <w:t>1</w:t>
            </w:r>
            <w:r w:rsidR="007D44FC">
              <w:rPr>
                <w:rFonts w:ascii="Arial" w:hAnsi="Arial" w:cs="Arial"/>
                <w:sz w:val="24"/>
                <w:szCs w:val="24"/>
              </w:rPr>
              <w:t>,</w:t>
            </w:r>
            <w:r w:rsidRPr="00A84ED8">
              <w:rPr>
                <w:rFonts w:ascii="Arial" w:hAnsi="Arial" w:cs="Arial"/>
                <w:sz w:val="24"/>
                <w:szCs w:val="24"/>
              </w:rPr>
              <w:t>126</w:t>
            </w:r>
          </w:p>
        </w:tc>
        <w:tc>
          <w:tcPr>
            <w:tcW w:w="2273" w:type="dxa"/>
          </w:tcPr>
          <w:p w:rsidR="00A84ED8" w:rsidRPr="00A84ED8" w:rsidRDefault="00A84ED8" w:rsidP="00085434">
            <w:pPr>
              <w:rPr>
                <w:rFonts w:ascii="Arial" w:hAnsi="Arial" w:cs="Arial"/>
                <w:sz w:val="24"/>
                <w:szCs w:val="24"/>
              </w:rPr>
            </w:pPr>
            <w:r w:rsidRPr="00A84ED8">
              <w:rPr>
                <w:rFonts w:ascii="Arial" w:hAnsi="Arial" w:cs="Arial"/>
                <w:sz w:val="24"/>
                <w:szCs w:val="24"/>
              </w:rPr>
              <w:t>9</w:t>
            </w:r>
            <w:r w:rsidR="007D44FC">
              <w:rPr>
                <w:rFonts w:ascii="Arial" w:hAnsi="Arial" w:cs="Arial"/>
                <w:sz w:val="24"/>
                <w:szCs w:val="24"/>
              </w:rPr>
              <w:t>,</w:t>
            </w:r>
            <w:r w:rsidRPr="00A84ED8">
              <w:rPr>
                <w:rFonts w:ascii="Arial" w:hAnsi="Arial" w:cs="Arial"/>
                <w:sz w:val="24"/>
                <w:szCs w:val="24"/>
              </w:rPr>
              <w:t>726</w:t>
            </w:r>
          </w:p>
        </w:tc>
        <w:tc>
          <w:tcPr>
            <w:tcW w:w="1811" w:type="dxa"/>
          </w:tcPr>
          <w:p w:rsidR="00A84ED8" w:rsidRPr="00A84ED8" w:rsidRDefault="00A84ED8" w:rsidP="00085434">
            <w:pPr>
              <w:rPr>
                <w:rFonts w:ascii="Arial" w:hAnsi="Arial" w:cs="Arial"/>
                <w:sz w:val="24"/>
                <w:szCs w:val="24"/>
              </w:rPr>
            </w:pPr>
            <w:r w:rsidRPr="00A84ED8">
              <w:rPr>
                <w:rFonts w:ascii="Arial" w:hAnsi="Arial" w:cs="Arial"/>
                <w:sz w:val="24"/>
                <w:szCs w:val="24"/>
              </w:rPr>
              <w:t>10.4%</w:t>
            </w:r>
          </w:p>
        </w:tc>
      </w:tr>
      <w:tr w:rsidR="00A84ED8" w:rsidRPr="00A84ED8" w:rsidTr="00A84ED8">
        <w:tc>
          <w:tcPr>
            <w:tcW w:w="2165" w:type="dxa"/>
            <w:shd w:val="clear" w:color="auto" w:fill="F2DBDB" w:themeFill="accent2" w:themeFillTint="33"/>
          </w:tcPr>
          <w:p w:rsidR="00A84ED8" w:rsidRPr="00A84ED8" w:rsidRDefault="00A84ED8" w:rsidP="00085434">
            <w:pPr>
              <w:rPr>
                <w:rFonts w:ascii="Arial" w:hAnsi="Arial" w:cs="Arial"/>
                <w:sz w:val="24"/>
                <w:szCs w:val="24"/>
              </w:rPr>
            </w:pPr>
            <w:r w:rsidRPr="00A84ED8">
              <w:rPr>
                <w:rFonts w:ascii="Arial" w:hAnsi="Arial" w:cs="Arial"/>
                <w:sz w:val="24"/>
                <w:szCs w:val="24"/>
              </w:rPr>
              <w:t>Females</w:t>
            </w:r>
          </w:p>
        </w:tc>
        <w:tc>
          <w:tcPr>
            <w:tcW w:w="2273" w:type="dxa"/>
          </w:tcPr>
          <w:p w:rsidR="00A84ED8" w:rsidRPr="00A84ED8" w:rsidRDefault="00A84ED8" w:rsidP="00085434">
            <w:pPr>
              <w:rPr>
                <w:rFonts w:ascii="Arial" w:hAnsi="Arial" w:cs="Arial"/>
                <w:sz w:val="24"/>
                <w:szCs w:val="24"/>
              </w:rPr>
            </w:pPr>
            <w:r w:rsidRPr="00A84ED8">
              <w:rPr>
                <w:rFonts w:ascii="Arial" w:hAnsi="Arial" w:cs="Arial"/>
                <w:sz w:val="24"/>
                <w:szCs w:val="24"/>
              </w:rPr>
              <w:t>1</w:t>
            </w:r>
            <w:r w:rsidR="007D44FC">
              <w:rPr>
                <w:rFonts w:ascii="Arial" w:hAnsi="Arial" w:cs="Arial"/>
                <w:sz w:val="24"/>
                <w:szCs w:val="24"/>
              </w:rPr>
              <w:t>,</w:t>
            </w:r>
            <w:r w:rsidRPr="00A84ED8">
              <w:rPr>
                <w:rFonts w:ascii="Arial" w:hAnsi="Arial" w:cs="Arial"/>
                <w:sz w:val="24"/>
                <w:szCs w:val="24"/>
              </w:rPr>
              <w:t>231</w:t>
            </w:r>
          </w:p>
        </w:tc>
        <w:tc>
          <w:tcPr>
            <w:tcW w:w="2273" w:type="dxa"/>
          </w:tcPr>
          <w:p w:rsidR="00A84ED8" w:rsidRPr="00A84ED8" w:rsidRDefault="00A84ED8" w:rsidP="00085434">
            <w:pPr>
              <w:rPr>
                <w:rFonts w:ascii="Arial" w:hAnsi="Arial" w:cs="Arial"/>
                <w:sz w:val="24"/>
                <w:szCs w:val="24"/>
              </w:rPr>
            </w:pPr>
            <w:r w:rsidRPr="00A84ED8">
              <w:rPr>
                <w:rFonts w:ascii="Arial" w:hAnsi="Arial" w:cs="Arial"/>
                <w:sz w:val="24"/>
                <w:szCs w:val="24"/>
              </w:rPr>
              <w:t>10</w:t>
            </w:r>
            <w:r w:rsidR="007D44FC">
              <w:rPr>
                <w:rFonts w:ascii="Arial" w:hAnsi="Arial" w:cs="Arial"/>
                <w:sz w:val="24"/>
                <w:szCs w:val="24"/>
              </w:rPr>
              <w:t>,</w:t>
            </w:r>
            <w:r w:rsidRPr="00A84ED8">
              <w:rPr>
                <w:rFonts w:ascii="Arial" w:hAnsi="Arial" w:cs="Arial"/>
                <w:sz w:val="24"/>
                <w:szCs w:val="24"/>
              </w:rPr>
              <w:t>106</w:t>
            </w:r>
          </w:p>
        </w:tc>
        <w:tc>
          <w:tcPr>
            <w:tcW w:w="1811" w:type="dxa"/>
          </w:tcPr>
          <w:p w:rsidR="00A84ED8" w:rsidRPr="00A84ED8" w:rsidRDefault="00A84ED8" w:rsidP="00085434">
            <w:pPr>
              <w:rPr>
                <w:rFonts w:ascii="Arial" w:hAnsi="Arial" w:cs="Arial"/>
                <w:sz w:val="24"/>
                <w:szCs w:val="24"/>
              </w:rPr>
            </w:pPr>
            <w:r w:rsidRPr="00A84ED8">
              <w:rPr>
                <w:rFonts w:ascii="Arial" w:hAnsi="Arial" w:cs="Arial"/>
                <w:sz w:val="24"/>
                <w:szCs w:val="24"/>
              </w:rPr>
              <w:t>10.9%</w:t>
            </w:r>
          </w:p>
        </w:tc>
      </w:tr>
      <w:tr w:rsidR="00A84ED8" w:rsidRPr="00A84ED8" w:rsidTr="00A84ED8">
        <w:tc>
          <w:tcPr>
            <w:tcW w:w="2165" w:type="dxa"/>
            <w:shd w:val="clear" w:color="auto" w:fill="F2DBDB" w:themeFill="accent2" w:themeFillTint="33"/>
          </w:tcPr>
          <w:p w:rsidR="00A84ED8" w:rsidRPr="00A84ED8" w:rsidRDefault="00A84ED8" w:rsidP="00085434">
            <w:pPr>
              <w:rPr>
                <w:rFonts w:ascii="Arial" w:hAnsi="Arial" w:cs="Arial"/>
                <w:sz w:val="24"/>
                <w:szCs w:val="24"/>
              </w:rPr>
            </w:pPr>
            <w:r w:rsidRPr="00A84ED8">
              <w:rPr>
                <w:rFonts w:ascii="Arial" w:hAnsi="Arial" w:cs="Arial"/>
                <w:sz w:val="24"/>
                <w:szCs w:val="24"/>
              </w:rPr>
              <w:t>Totals</w:t>
            </w:r>
          </w:p>
        </w:tc>
        <w:tc>
          <w:tcPr>
            <w:tcW w:w="2273" w:type="dxa"/>
          </w:tcPr>
          <w:p w:rsidR="00A84ED8" w:rsidRPr="00A84ED8" w:rsidRDefault="00A84ED8" w:rsidP="00085434">
            <w:pPr>
              <w:rPr>
                <w:rFonts w:ascii="Arial" w:hAnsi="Arial" w:cs="Arial"/>
                <w:sz w:val="24"/>
                <w:szCs w:val="24"/>
              </w:rPr>
            </w:pPr>
            <w:r w:rsidRPr="00A84ED8">
              <w:rPr>
                <w:rFonts w:ascii="Arial" w:hAnsi="Arial" w:cs="Arial"/>
                <w:sz w:val="24"/>
                <w:szCs w:val="24"/>
              </w:rPr>
              <w:t>2</w:t>
            </w:r>
            <w:r w:rsidR="007D44FC">
              <w:rPr>
                <w:rFonts w:ascii="Arial" w:hAnsi="Arial" w:cs="Arial"/>
                <w:sz w:val="24"/>
                <w:szCs w:val="24"/>
              </w:rPr>
              <w:t>,</w:t>
            </w:r>
            <w:r w:rsidRPr="00A84ED8">
              <w:rPr>
                <w:rFonts w:ascii="Arial" w:hAnsi="Arial" w:cs="Arial"/>
                <w:sz w:val="24"/>
                <w:szCs w:val="24"/>
              </w:rPr>
              <w:t>357</w:t>
            </w:r>
          </w:p>
        </w:tc>
        <w:tc>
          <w:tcPr>
            <w:tcW w:w="2273" w:type="dxa"/>
          </w:tcPr>
          <w:p w:rsidR="00A84ED8" w:rsidRPr="00A84ED8" w:rsidRDefault="00A84ED8" w:rsidP="00085434">
            <w:pPr>
              <w:rPr>
                <w:rFonts w:ascii="Arial" w:hAnsi="Arial" w:cs="Arial"/>
                <w:sz w:val="24"/>
                <w:szCs w:val="24"/>
              </w:rPr>
            </w:pPr>
            <w:r w:rsidRPr="00A84ED8">
              <w:rPr>
                <w:rFonts w:ascii="Arial" w:hAnsi="Arial" w:cs="Arial"/>
                <w:sz w:val="24"/>
                <w:szCs w:val="24"/>
              </w:rPr>
              <w:t>19</w:t>
            </w:r>
            <w:r w:rsidR="007D44FC">
              <w:rPr>
                <w:rFonts w:ascii="Arial" w:hAnsi="Arial" w:cs="Arial"/>
                <w:sz w:val="24"/>
                <w:szCs w:val="24"/>
              </w:rPr>
              <w:t>,</w:t>
            </w:r>
            <w:r w:rsidRPr="00A84ED8">
              <w:rPr>
                <w:rFonts w:ascii="Arial" w:hAnsi="Arial" w:cs="Arial"/>
                <w:sz w:val="24"/>
                <w:szCs w:val="24"/>
              </w:rPr>
              <w:t>832</w:t>
            </w:r>
          </w:p>
        </w:tc>
        <w:tc>
          <w:tcPr>
            <w:tcW w:w="1811" w:type="dxa"/>
          </w:tcPr>
          <w:p w:rsidR="00A84ED8" w:rsidRPr="00A84ED8" w:rsidRDefault="00A84ED8" w:rsidP="00085434">
            <w:pPr>
              <w:rPr>
                <w:rFonts w:ascii="Arial" w:hAnsi="Arial" w:cs="Arial"/>
                <w:sz w:val="24"/>
                <w:szCs w:val="24"/>
              </w:rPr>
            </w:pPr>
            <w:r w:rsidRPr="00A84ED8">
              <w:rPr>
                <w:rFonts w:ascii="Arial" w:hAnsi="Arial" w:cs="Arial"/>
                <w:sz w:val="24"/>
                <w:szCs w:val="24"/>
              </w:rPr>
              <w:t>10.6%</w:t>
            </w:r>
          </w:p>
        </w:tc>
      </w:tr>
    </w:tbl>
    <w:p w:rsidR="00A84ED8" w:rsidRPr="00A84ED8" w:rsidRDefault="00A84ED8" w:rsidP="00A84ED8">
      <w:pPr>
        <w:rPr>
          <w:rFonts w:ascii="Arial" w:hAnsi="Arial" w:cs="Arial"/>
          <w:sz w:val="24"/>
          <w:szCs w:val="24"/>
        </w:rPr>
      </w:pPr>
    </w:p>
    <w:p w:rsidR="00A84ED8" w:rsidRPr="00A84ED8" w:rsidRDefault="00A84ED8" w:rsidP="00A84ED8">
      <w:pPr>
        <w:rPr>
          <w:rFonts w:ascii="Arial" w:hAnsi="Arial" w:cs="Arial"/>
          <w:sz w:val="24"/>
          <w:szCs w:val="24"/>
        </w:rPr>
      </w:pPr>
    </w:p>
    <w:p w:rsidR="00A84ED8" w:rsidRPr="00A84ED8" w:rsidRDefault="00A84ED8" w:rsidP="00A84ED8">
      <w:pPr>
        <w:rPr>
          <w:rFonts w:ascii="Arial" w:hAnsi="Arial" w:cs="Arial"/>
          <w:b/>
          <w:sz w:val="24"/>
          <w:szCs w:val="24"/>
        </w:rPr>
      </w:pPr>
      <w:r w:rsidRPr="00A84ED8">
        <w:rPr>
          <w:rFonts w:ascii="Arial" w:hAnsi="Arial" w:cs="Arial"/>
          <w:b/>
          <w:sz w:val="24"/>
          <w:szCs w:val="24"/>
        </w:rPr>
        <w:t>2008-2009</w:t>
      </w:r>
    </w:p>
    <w:p w:rsidR="00A84ED8" w:rsidRPr="00A84ED8" w:rsidRDefault="00A84ED8" w:rsidP="00A84ED8">
      <w:pPr>
        <w:rPr>
          <w:rFonts w:ascii="Arial" w:hAnsi="Arial" w:cs="Arial"/>
          <w:sz w:val="24"/>
          <w:szCs w:val="24"/>
        </w:rPr>
      </w:pPr>
      <w:r w:rsidRPr="00A84ED8">
        <w:rPr>
          <w:rFonts w:ascii="Arial" w:hAnsi="Arial" w:cs="Arial"/>
          <w:sz w:val="24"/>
          <w:szCs w:val="24"/>
        </w:rPr>
        <w:t>The table below identifies the number of enrolments attributed to Welsh speakers compared to those from non</w:t>
      </w:r>
      <w:r w:rsidR="007D44FC">
        <w:rPr>
          <w:rFonts w:ascii="Arial" w:hAnsi="Arial" w:cs="Arial"/>
          <w:sz w:val="24"/>
          <w:szCs w:val="24"/>
        </w:rPr>
        <w:t>-</w:t>
      </w:r>
      <w:r w:rsidRPr="00A84ED8">
        <w:rPr>
          <w:rFonts w:ascii="Arial" w:hAnsi="Arial" w:cs="Arial"/>
          <w:sz w:val="24"/>
          <w:szCs w:val="24"/>
        </w:rPr>
        <w:t>Welsh speakers in 2008-2009</w:t>
      </w:r>
      <w:r w:rsidR="007D44FC">
        <w:rPr>
          <w:rFonts w:ascii="Arial" w:hAnsi="Arial" w:cs="Arial"/>
          <w:sz w:val="24"/>
          <w:szCs w:val="24"/>
        </w:rPr>
        <w:t>:</w:t>
      </w:r>
    </w:p>
    <w:p w:rsidR="00A84ED8" w:rsidRPr="00A84ED8" w:rsidRDefault="00A84ED8" w:rsidP="00A84ED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2273"/>
        <w:gridCol w:w="2273"/>
        <w:gridCol w:w="1811"/>
      </w:tblGrid>
      <w:tr w:rsidR="00A84ED8" w:rsidRPr="00A84ED8" w:rsidTr="00A84ED8">
        <w:tc>
          <w:tcPr>
            <w:tcW w:w="2165" w:type="dxa"/>
            <w:shd w:val="clear" w:color="auto" w:fill="F2DBDB" w:themeFill="accent2" w:themeFillTint="33"/>
          </w:tcPr>
          <w:p w:rsidR="00A84ED8" w:rsidRPr="00A84ED8" w:rsidRDefault="00A84ED8" w:rsidP="00085434">
            <w:pPr>
              <w:rPr>
                <w:rFonts w:ascii="Arial" w:hAnsi="Arial" w:cs="Arial"/>
                <w:sz w:val="24"/>
                <w:szCs w:val="24"/>
              </w:rPr>
            </w:pPr>
          </w:p>
        </w:tc>
        <w:tc>
          <w:tcPr>
            <w:tcW w:w="2273" w:type="dxa"/>
            <w:shd w:val="clear" w:color="auto" w:fill="F2DBDB" w:themeFill="accent2" w:themeFillTint="33"/>
          </w:tcPr>
          <w:p w:rsidR="00A84ED8" w:rsidRPr="00A84ED8" w:rsidRDefault="00A84ED8" w:rsidP="00085434">
            <w:pPr>
              <w:rPr>
                <w:rFonts w:ascii="Arial" w:hAnsi="Arial" w:cs="Arial"/>
                <w:sz w:val="24"/>
                <w:szCs w:val="24"/>
              </w:rPr>
            </w:pPr>
            <w:r w:rsidRPr="00A84ED8">
              <w:rPr>
                <w:rFonts w:ascii="Arial" w:hAnsi="Arial" w:cs="Arial"/>
                <w:sz w:val="24"/>
                <w:szCs w:val="24"/>
              </w:rPr>
              <w:t>Number of enrolments for Welsh speakers</w:t>
            </w:r>
          </w:p>
        </w:tc>
        <w:tc>
          <w:tcPr>
            <w:tcW w:w="2273" w:type="dxa"/>
            <w:shd w:val="clear" w:color="auto" w:fill="F2DBDB" w:themeFill="accent2" w:themeFillTint="33"/>
          </w:tcPr>
          <w:p w:rsidR="00A84ED8" w:rsidRPr="00A84ED8" w:rsidRDefault="00A84ED8" w:rsidP="00085434">
            <w:pPr>
              <w:rPr>
                <w:rFonts w:ascii="Arial" w:hAnsi="Arial" w:cs="Arial"/>
                <w:sz w:val="24"/>
                <w:szCs w:val="24"/>
              </w:rPr>
            </w:pPr>
            <w:r w:rsidRPr="00A84ED8">
              <w:rPr>
                <w:rFonts w:ascii="Arial" w:hAnsi="Arial" w:cs="Arial"/>
                <w:sz w:val="24"/>
                <w:szCs w:val="24"/>
              </w:rPr>
              <w:t>Number of enrolments from non</w:t>
            </w:r>
            <w:r w:rsidR="0052241E">
              <w:rPr>
                <w:rFonts w:ascii="Arial" w:hAnsi="Arial" w:cs="Arial"/>
                <w:sz w:val="24"/>
                <w:szCs w:val="24"/>
              </w:rPr>
              <w:t>-</w:t>
            </w:r>
            <w:r w:rsidRPr="00A84ED8">
              <w:rPr>
                <w:rFonts w:ascii="Arial" w:hAnsi="Arial" w:cs="Arial"/>
                <w:sz w:val="24"/>
                <w:szCs w:val="24"/>
              </w:rPr>
              <w:t>Welsh speakers</w:t>
            </w:r>
          </w:p>
        </w:tc>
        <w:tc>
          <w:tcPr>
            <w:tcW w:w="1811" w:type="dxa"/>
            <w:shd w:val="clear" w:color="auto" w:fill="F2DBDB" w:themeFill="accent2" w:themeFillTint="33"/>
          </w:tcPr>
          <w:p w:rsidR="00A84ED8" w:rsidRPr="00A84ED8" w:rsidRDefault="00A84ED8" w:rsidP="00085434">
            <w:pPr>
              <w:rPr>
                <w:rFonts w:ascii="Arial" w:hAnsi="Arial" w:cs="Arial"/>
                <w:sz w:val="24"/>
                <w:szCs w:val="24"/>
              </w:rPr>
            </w:pPr>
            <w:r w:rsidRPr="00A84ED8">
              <w:rPr>
                <w:rFonts w:ascii="Arial" w:hAnsi="Arial" w:cs="Arial"/>
                <w:sz w:val="24"/>
                <w:szCs w:val="24"/>
              </w:rPr>
              <w:t>Percentage of enrolments attributed to Welsh speakers</w:t>
            </w:r>
          </w:p>
        </w:tc>
      </w:tr>
      <w:tr w:rsidR="00A84ED8" w:rsidRPr="00A84ED8" w:rsidTr="00A84ED8">
        <w:tc>
          <w:tcPr>
            <w:tcW w:w="2165" w:type="dxa"/>
            <w:shd w:val="clear" w:color="auto" w:fill="F2DBDB" w:themeFill="accent2" w:themeFillTint="33"/>
          </w:tcPr>
          <w:p w:rsidR="00A84ED8" w:rsidRPr="00A84ED8" w:rsidRDefault="00A84ED8" w:rsidP="00085434">
            <w:pPr>
              <w:rPr>
                <w:rFonts w:ascii="Arial" w:hAnsi="Arial" w:cs="Arial"/>
                <w:sz w:val="24"/>
                <w:szCs w:val="24"/>
              </w:rPr>
            </w:pPr>
            <w:r w:rsidRPr="00A84ED8">
              <w:rPr>
                <w:rFonts w:ascii="Arial" w:hAnsi="Arial" w:cs="Arial"/>
                <w:sz w:val="24"/>
                <w:szCs w:val="24"/>
              </w:rPr>
              <w:t>Males</w:t>
            </w:r>
          </w:p>
        </w:tc>
        <w:tc>
          <w:tcPr>
            <w:tcW w:w="2273" w:type="dxa"/>
          </w:tcPr>
          <w:p w:rsidR="00A84ED8" w:rsidRPr="00A84ED8" w:rsidRDefault="00A84ED8" w:rsidP="00085434">
            <w:pPr>
              <w:rPr>
                <w:rFonts w:ascii="Arial" w:hAnsi="Arial" w:cs="Arial"/>
                <w:sz w:val="24"/>
                <w:szCs w:val="24"/>
              </w:rPr>
            </w:pPr>
            <w:r w:rsidRPr="00A84ED8">
              <w:rPr>
                <w:rFonts w:ascii="Arial" w:hAnsi="Arial" w:cs="Arial"/>
                <w:sz w:val="24"/>
                <w:szCs w:val="24"/>
              </w:rPr>
              <w:t>1</w:t>
            </w:r>
            <w:r w:rsidR="007D44FC">
              <w:rPr>
                <w:rFonts w:ascii="Arial" w:hAnsi="Arial" w:cs="Arial"/>
                <w:sz w:val="24"/>
                <w:szCs w:val="24"/>
              </w:rPr>
              <w:t>,</w:t>
            </w:r>
            <w:r w:rsidRPr="00A84ED8">
              <w:rPr>
                <w:rFonts w:ascii="Arial" w:hAnsi="Arial" w:cs="Arial"/>
                <w:sz w:val="24"/>
                <w:szCs w:val="24"/>
              </w:rPr>
              <w:t>270</w:t>
            </w:r>
          </w:p>
        </w:tc>
        <w:tc>
          <w:tcPr>
            <w:tcW w:w="2273" w:type="dxa"/>
          </w:tcPr>
          <w:p w:rsidR="00A84ED8" w:rsidRPr="00A84ED8" w:rsidRDefault="00A84ED8" w:rsidP="00085434">
            <w:pPr>
              <w:rPr>
                <w:rFonts w:ascii="Arial" w:hAnsi="Arial" w:cs="Arial"/>
                <w:sz w:val="24"/>
                <w:szCs w:val="24"/>
              </w:rPr>
            </w:pPr>
            <w:r w:rsidRPr="00A84ED8">
              <w:rPr>
                <w:rFonts w:ascii="Arial" w:hAnsi="Arial" w:cs="Arial"/>
                <w:sz w:val="24"/>
                <w:szCs w:val="24"/>
              </w:rPr>
              <w:t>9</w:t>
            </w:r>
            <w:r w:rsidR="007D44FC">
              <w:rPr>
                <w:rFonts w:ascii="Arial" w:hAnsi="Arial" w:cs="Arial"/>
                <w:sz w:val="24"/>
                <w:szCs w:val="24"/>
              </w:rPr>
              <w:t>,</w:t>
            </w:r>
            <w:r w:rsidRPr="00A84ED8">
              <w:rPr>
                <w:rFonts w:ascii="Arial" w:hAnsi="Arial" w:cs="Arial"/>
                <w:sz w:val="24"/>
                <w:szCs w:val="24"/>
              </w:rPr>
              <w:t>546</w:t>
            </w:r>
          </w:p>
        </w:tc>
        <w:tc>
          <w:tcPr>
            <w:tcW w:w="1811" w:type="dxa"/>
          </w:tcPr>
          <w:p w:rsidR="00A84ED8" w:rsidRPr="00A84ED8" w:rsidRDefault="00A84ED8" w:rsidP="00085434">
            <w:pPr>
              <w:rPr>
                <w:rFonts w:ascii="Arial" w:hAnsi="Arial" w:cs="Arial"/>
                <w:sz w:val="24"/>
                <w:szCs w:val="24"/>
              </w:rPr>
            </w:pPr>
            <w:r w:rsidRPr="00A84ED8">
              <w:rPr>
                <w:rFonts w:ascii="Arial" w:hAnsi="Arial" w:cs="Arial"/>
                <w:sz w:val="24"/>
                <w:szCs w:val="24"/>
              </w:rPr>
              <w:t>11.7 %</w:t>
            </w:r>
          </w:p>
        </w:tc>
      </w:tr>
      <w:tr w:rsidR="00A84ED8" w:rsidRPr="00A84ED8" w:rsidTr="00A84ED8">
        <w:tc>
          <w:tcPr>
            <w:tcW w:w="2165" w:type="dxa"/>
            <w:shd w:val="clear" w:color="auto" w:fill="F2DBDB" w:themeFill="accent2" w:themeFillTint="33"/>
          </w:tcPr>
          <w:p w:rsidR="00A84ED8" w:rsidRPr="00A84ED8" w:rsidRDefault="00A84ED8" w:rsidP="00085434">
            <w:pPr>
              <w:rPr>
                <w:rFonts w:ascii="Arial" w:hAnsi="Arial" w:cs="Arial"/>
                <w:sz w:val="24"/>
                <w:szCs w:val="24"/>
              </w:rPr>
            </w:pPr>
            <w:r w:rsidRPr="00A84ED8">
              <w:rPr>
                <w:rFonts w:ascii="Arial" w:hAnsi="Arial" w:cs="Arial"/>
                <w:sz w:val="24"/>
                <w:szCs w:val="24"/>
              </w:rPr>
              <w:t>Females</w:t>
            </w:r>
          </w:p>
        </w:tc>
        <w:tc>
          <w:tcPr>
            <w:tcW w:w="2273" w:type="dxa"/>
          </w:tcPr>
          <w:p w:rsidR="00A84ED8" w:rsidRPr="00A84ED8" w:rsidRDefault="00A84ED8" w:rsidP="00085434">
            <w:pPr>
              <w:rPr>
                <w:rFonts w:ascii="Arial" w:hAnsi="Arial" w:cs="Arial"/>
                <w:sz w:val="24"/>
                <w:szCs w:val="24"/>
              </w:rPr>
            </w:pPr>
            <w:r w:rsidRPr="00A84ED8">
              <w:rPr>
                <w:rFonts w:ascii="Arial" w:hAnsi="Arial" w:cs="Arial"/>
                <w:sz w:val="24"/>
                <w:szCs w:val="24"/>
              </w:rPr>
              <w:t>1</w:t>
            </w:r>
            <w:r w:rsidR="007D44FC">
              <w:rPr>
                <w:rFonts w:ascii="Arial" w:hAnsi="Arial" w:cs="Arial"/>
                <w:sz w:val="24"/>
                <w:szCs w:val="24"/>
              </w:rPr>
              <w:t>,</w:t>
            </w:r>
            <w:r w:rsidRPr="00A84ED8">
              <w:rPr>
                <w:rFonts w:ascii="Arial" w:hAnsi="Arial" w:cs="Arial"/>
                <w:sz w:val="24"/>
                <w:szCs w:val="24"/>
              </w:rPr>
              <w:t>715</w:t>
            </w:r>
          </w:p>
        </w:tc>
        <w:tc>
          <w:tcPr>
            <w:tcW w:w="2273" w:type="dxa"/>
          </w:tcPr>
          <w:p w:rsidR="00A84ED8" w:rsidRPr="00A84ED8" w:rsidRDefault="00A84ED8" w:rsidP="00085434">
            <w:pPr>
              <w:rPr>
                <w:rFonts w:ascii="Arial" w:hAnsi="Arial" w:cs="Arial"/>
                <w:sz w:val="24"/>
                <w:szCs w:val="24"/>
              </w:rPr>
            </w:pPr>
            <w:r w:rsidRPr="00A84ED8">
              <w:rPr>
                <w:rFonts w:ascii="Arial" w:hAnsi="Arial" w:cs="Arial"/>
                <w:sz w:val="24"/>
                <w:szCs w:val="24"/>
              </w:rPr>
              <w:t>9</w:t>
            </w:r>
            <w:r w:rsidR="007D44FC">
              <w:rPr>
                <w:rFonts w:ascii="Arial" w:hAnsi="Arial" w:cs="Arial"/>
                <w:sz w:val="24"/>
                <w:szCs w:val="24"/>
              </w:rPr>
              <w:t>,</w:t>
            </w:r>
            <w:r w:rsidRPr="00A84ED8">
              <w:rPr>
                <w:rFonts w:ascii="Arial" w:hAnsi="Arial" w:cs="Arial"/>
                <w:sz w:val="24"/>
                <w:szCs w:val="24"/>
              </w:rPr>
              <w:t>431</w:t>
            </w:r>
          </w:p>
        </w:tc>
        <w:tc>
          <w:tcPr>
            <w:tcW w:w="1811" w:type="dxa"/>
          </w:tcPr>
          <w:p w:rsidR="00A84ED8" w:rsidRPr="00A84ED8" w:rsidRDefault="00A84ED8" w:rsidP="00085434">
            <w:pPr>
              <w:rPr>
                <w:rFonts w:ascii="Arial" w:hAnsi="Arial" w:cs="Arial"/>
                <w:sz w:val="24"/>
                <w:szCs w:val="24"/>
              </w:rPr>
            </w:pPr>
            <w:r w:rsidRPr="00A84ED8">
              <w:rPr>
                <w:rFonts w:ascii="Arial" w:hAnsi="Arial" w:cs="Arial"/>
                <w:sz w:val="24"/>
                <w:szCs w:val="24"/>
              </w:rPr>
              <w:t>15.4%</w:t>
            </w:r>
          </w:p>
        </w:tc>
      </w:tr>
      <w:tr w:rsidR="00A84ED8" w:rsidRPr="00A84ED8" w:rsidTr="00A84ED8">
        <w:tc>
          <w:tcPr>
            <w:tcW w:w="2165" w:type="dxa"/>
            <w:shd w:val="clear" w:color="auto" w:fill="F2DBDB" w:themeFill="accent2" w:themeFillTint="33"/>
          </w:tcPr>
          <w:p w:rsidR="00A84ED8" w:rsidRPr="00A84ED8" w:rsidRDefault="00A84ED8" w:rsidP="00085434">
            <w:pPr>
              <w:rPr>
                <w:rFonts w:ascii="Arial" w:hAnsi="Arial" w:cs="Arial"/>
                <w:sz w:val="24"/>
                <w:szCs w:val="24"/>
              </w:rPr>
            </w:pPr>
            <w:r w:rsidRPr="00A84ED8">
              <w:rPr>
                <w:rFonts w:ascii="Arial" w:hAnsi="Arial" w:cs="Arial"/>
                <w:sz w:val="24"/>
                <w:szCs w:val="24"/>
              </w:rPr>
              <w:t>Totals</w:t>
            </w:r>
          </w:p>
        </w:tc>
        <w:tc>
          <w:tcPr>
            <w:tcW w:w="2273" w:type="dxa"/>
          </w:tcPr>
          <w:p w:rsidR="00A84ED8" w:rsidRPr="00A84ED8" w:rsidRDefault="00A84ED8" w:rsidP="00085434">
            <w:pPr>
              <w:rPr>
                <w:rFonts w:ascii="Arial" w:hAnsi="Arial" w:cs="Arial"/>
                <w:sz w:val="24"/>
                <w:szCs w:val="24"/>
              </w:rPr>
            </w:pPr>
            <w:r w:rsidRPr="00A84ED8">
              <w:rPr>
                <w:rFonts w:ascii="Arial" w:hAnsi="Arial" w:cs="Arial"/>
                <w:sz w:val="24"/>
                <w:szCs w:val="24"/>
              </w:rPr>
              <w:t>2</w:t>
            </w:r>
            <w:r w:rsidR="007D44FC">
              <w:rPr>
                <w:rFonts w:ascii="Arial" w:hAnsi="Arial" w:cs="Arial"/>
                <w:sz w:val="24"/>
                <w:szCs w:val="24"/>
              </w:rPr>
              <w:t>,</w:t>
            </w:r>
            <w:r w:rsidRPr="00A84ED8">
              <w:rPr>
                <w:rFonts w:ascii="Arial" w:hAnsi="Arial" w:cs="Arial"/>
                <w:sz w:val="24"/>
                <w:szCs w:val="24"/>
              </w:rPr>
              <w:t>985</w:t>
            </w:r>
          </w:p>
        </w:tc>
        <w:tc>
          <w:tcPr>
            <w:tcW w:w="2273" w:type="dxa"/>
          </w:tcPr>
          <w:p w:rsidR="00A84ED8" w:rsidRPr="00A84ED8" w:rsidRDefault="00A84ED8" w:rsidP="00085434">
            <w:pPr>
              <w:rPr>
                <w:rFonts w:ascii="Arial" w:hAnsi="Arial" w:cs="Arial"/>
                <w:sz w:val="24"/>
                <w:szCs w:val="24"/>
              </w:rPr>
            </w:pPr>
            <w:r w:rsidRPr="00A84ED8">
              <w:rPr>
                <w:rFonts w:ascii="Arial" w:hAnsi="Arial" w:cs="Arial"/>
                <w:sz w:val="24"/>
                <w:szCs w:val="24"/>
              </w:rPr>
              <w:t>18</w:t>
            </w:r>
            <w:r w:rsidR="007D44FC">
              <w:rPr>
                <w:rFonts w:ascii="Arial" w:hAnsi="Arial" w:cs="Arial"/>
                <w:sz w:val="24"/>
                <w:szCs w:val="24"/>
              </w:rPr>
              <w:t>,</w:t>
            </w:r>
            <w:r w:rsidRPr="00A84ED8">
              <w:rPr>
                <w:rFonts w:ascii="Arial" w:hAnsi="Arial" w:cs="Arial"/>
                <w:sz w:val="24"/>
                <w:szCs w:val="24"/>
              </w:rPr>
              <w:t>977</w:t>
            </w:r>
          </w:p>
        </w:tc>
        <w:tc>
          <w:tcPr>
            <w:tcW w:w="1811" w:type="dxa"/>
          </w:tcPr>
          <w:p w:rsidR="00A84ED8" w:rsidRPr="00A84ED8" w:rsidRDefault="00A84ED8" w:rsidP="00085434">
            <w:pPr>
              <w:rPr>
                <w:rFonts w:ascii="Arial" w:hAnsi="Arial" w:cs="Arial"/>
                <w:sz w:val="24"/>
                <w:szCs w:val="24"/>
              </w:rPr>
            </w:pPr>
            <w:r w:rsidRPr="00A84ED8">
              <w:rPr>
                <w:rFonts w:ascii="Arial" w:hAnsi="Arial" w:cs="Arial"/>
                <w:sz w:val="24"/>
                <w:szCs w:val="24"/>
              </w:rPr>
              <w:t xml:space="preserve">13.6% </w:t>
            </w:r>
          </w:p>
        </w:tc>
      </w:tr>
    </w:tbl>
    <w:p w:rsidR="00A84ED8" w:rsidRPr="00A84ED8" w:rsidRDefault="00A84ED8" w:rsidP="00A84ED8">
      <w:pPr>
        <w:rPr>
          <w:rFonts w:ascii="Arial" w:hAnsi="Arial" w:cs="Arial"/>
          <w:sz w:val="24"/>
          <w:szCs w:val="24"/>
        </w:rPr>
      </w:pPr>
    </w:p>
    <w:p w:rsidR="00A84ED8" w:rsidRDefault="00A84ED8" w:rsidP="00A84ED8">
      <w:pPr>
        <w:rPr>
          <w:rFonts w:ascii="Arial" w:hAnsi="Arial" w:cs="Arial"/>
          <w:sz w:val="24"/>
          <w:szCs w:val="24"/>
        </w:rPr>
      </w:pPr>
    </w:p>
    <w:p w:rsidR="00A84ED8" w:rsidRPr="00A84ED8" w:rsidRDefault="00A84ED8" w:rsidP="00A84ED8">
      <w:pPr>
        <w:rPr>
          <w:rFonts w:ascii="Arial" w:hAnsi="Arial" w:cs="Arial"/>
          <w:sz w:val="24"/>
          <w:szCs w:val="24"/>
        </w:rPr>
      </w:pPr>
    </w:p>
    <w:p w:rsidR="00A84ED8" w:rsidRPr="00A84ED8" w:rsidRDefault="00A84ED8" w:rsidP="00A84ED8">
      <w:pPr>
        <w:rPr>
          <w:rFonts w:ascii="Arial" w:hAnsi="Arial" w:cs="Arial"/>
          <w:b/>
          <w:sz w:val="24"/>
          <w:szCs w:val="24"/>
        </w:rPr>
      </w:pPr>
      <w:r w:rsidRPr="00A84ED8">
        <w:rPr>
          <w:rFonts w:ascii="Arial" w:hAnsi="Arial" w:cs="Arial"/>
          <w:b/>
          <w:sz w:val="24"/>
          <w:szCs w:val="24"/>
        </w:rPr>
        <w:t>2009-2010</w:t>
      </w:r>
    </w:p>
    <w:p w:rsidR="00A84ED8" w:rsidRPr="00A84ED8" w:rsidRDefault="00A84ED8" w:rsidP="00A84ED8">
      <w:pPr>
        <w:rPr>
          <w:rFonts w:ascii="Arial" w:hAnsi="Arial" w:cs="Arial"/>
          <w:sz w:val="24"/>
          <w:szCs w:val="24"/>
        </w:rPr>
      </w:pPr>
    </w:p>
    <w:p w:rsidR="00A84ED8" w:rsidRPr="00A84ED8" w:rsidRDefault="00A84ED8" w:rsidP="00A84ED8">
      <w:pPr>
        <w:rPr>
          <w:rFonts w:ascii="Arial" w:hAnsi="Arial" w:cs="Arial"/>
          <w:sz w:val="24"/>
          <w:szCs w:val="24"/>
        </w:rPr>
      </w:pPr>
      <w:r w:rsidRPr="00A84ED8">
        <w:rPr>
          <w:rFonts w:ascii="Arial" w:hAnsi="Arial" w:cs="Arial"/>
          <w:sz w:val="24"/>
          <w:szCs w:val="24"/>
        </w:rPr>
        <w:t xml:space="preserve">The table below identifies the number of enrolments attributed to Welsh speakers compared to those from </w:t>
      </w:r>
      <w:r>
        <w:rPr>
          <w:rFonts w:ascii="Arial" w:hAnsi="Arial" w:cs="Arial"/>
          <w:sz w:val="24"/>
          <w:szCs w:val="24"/>
        </w:rPr>
        <w:t>non</w:t>
      </w:r>
      <w:r w:rsidR="007D44FC">
        <w:rPr>
          <w:rFonts w:ascii="Arial" w:hAnsi="Arial" w:cs="Arial"/>
          <w:sz w:val="24"/>
          <w:szCs w:val="24"/>
        </w:rPr>
        <w:t>-</w:t>
      </w:r>
      <w:r>
        <w:rPr>
          <w:rFonts w:ascii="Arial" w:hAnsi="Arial" w:cs="Arial"/>
          <w:sz w:val="24"/>
          <w:szCs w:val="24"/>
        </w:rPr>
        <w:t>Welsh speakers in 2009-2010</w:t>
      </w:r>
      <w:r w:rsidR="007D44FC">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2273"/>
        <w:gridCol w:w="2273"/>
        <w:gridCol w:w="1811"/>
      </w:tblGrid>
      <w:tr w:rsidR="00A84ED8" w:rsidRPr="00A84ED8" w:rsidTr="00A84ED8">
        <w:tc>
          <w:tcPr>
            <w:tcW w:w="2165" w:type="dxa"/>
            <w:shd w:val="clear" w:color="auto" w:fill="F2DBDB" w:themeFill="accent2" w:themeFillTint="33"/>
          </w:tcPr>
          <w:p w:rsidR="00A84ED8" w:rsidRPr="00A84ED8" w:rsidRDefault="00A84ED8" w:rsidP="00085434">
            <w:pPr>
              <w:rPr>
                <w:rFonts w:ascii="Arial" w:hAnsi="Arial" w:cs="Arial"/>
                <w:sz w:val="24"/>
                <w:szCs w:val="24"/>
              </w:rPr>
            </w:pPr>
          </w:p>
        </w:tc>
        <w:tc>
          <w:tcPr>
            <w:tcW w:w="2273" w:type="dxa"/>
            <w:shd w:val="clear" w:color="auto" w:fill="F2DBDB" w:themeFill="accent2" w:themeFillTint="33"/>
          </w:tcPr>
          <w:p w:rsidR="00A84ED8" w:rsidRPr="00A84ED8" w:rsidRDefault="00A84ED8" w:rsidP="00085434">
            <w:pPr>
              <w:rPr>
                <w:rFonts w:ascii="Arial" w:hAnsi="Arial" w:cs="Arial"/>
                <w:sz w:val="24"/>
                <w:szCs w:val="24"/>
              </w:rPr>
            </w:pPr>
            <w:r w:rsidRPr="00A84ED8">
              <w:rPr>
                <w:rFonts w:ascii="Arial" w:hAnsi="Arial" w:cs="Arial"/>
                <w:sz w:val="24"/>
                <w:szCs w:val="24"/>
              </w:rPr>
              <w:t>Number of enrolments for Welsh speakers</w:t>
            </w:r>
          </w:p>
        </w:tc>
        <w:tc>
          <w:tcPr>
            <w:tcW w:w="2273" w:type="dxa"/>
            <w:shd w:val="clear" w:color="auto" w:fill="F2DBDB" w:themeFill="accent2" w:themeFillTint="33"/>
          </w:tcPr>
          <w:p w:rsidR="00A84ED8" w:rsidRPr="00A84ED8" w:rsidRDefault="00A84ED8" w:rsidP="00085434">
            <w:pPr>
              <w:rPr>
                <w:rFonts w:ascii="Arial" w:hAnsi="Arial" w:cs="Arial"/>
                <w:sz w:val="24"/>
                <w:szCs w:val="24"/>
              </w:rPr>
            </w:pPr>
            <w:r w:rsidRPr="00A84ED8">
              <w:rPr>
                <w:rFonts w:ascii="Arial" w:hAnsi="Arial" w:cs="Arial"/>
                <w:sz w:val="24"/>
                <w:szCs w:val="24"/>
              </w:rPr>
              <w:t>Number of enrolments from non</w:t>
            </w:r>
            <w:r w:rsidR="0052241E">
              <w:rPr>
                <w:rFonts w:ascii="Arial" w:hAnsi="Arial" w:cs="Arial"/>
                <w:sz w:val="24"/>
                <w:szCs w:val="24"/>
              </w:rPr>
              <w:t>-</w:t>
            </w:r>
            <w:r w:rsidRPr="00A84ED8">
              <w:rPr>
                <w:rFonts w:ascii="Arial" w:hAnsi="Arial" w:cs="Arial"/>
                <w:sz w:val="24"/>
                <w:szCs w:val="24"/>
              </w:rPr>
              <w:t>Welsh speakers</w:t>
            </w:r>
          </w:p>
        </w:tc>
        <w:tc>
          <w:tcPr>
            <w:tcW w:w="1811" w:type="dxa"/>
            <w:shd w:val="clear" w:color="auto" w:fill="F2DBDB" w:themeFill="accent2" w:themeFillTint="33"/>
          </w:tcPr>
          <w:p w:rsidR="00A84ED8" w:rsidRPr="00A84ED8" w:rsidRDefault="00A84ED8" w:rsidP="00085434">
            <w:pPr>
              <w:rPr>
                <w:rFonts w:ascii="Arial" w:hAnsi="Arial" w:cs="Arial"/>
                <w:sz w:val="24"/>
                <w:szCs w:val="24"/>
              </w:rPr>
            </w:pPr>
            <w:r w:rsidRPr="00A84ED8">
              <w:rPr>
                <w:rFonts w:ascii="Arial" w:hAnsi="Arial" w:cs="Arial"/>
                <w:sz w:val="24"/>
                <w:szCs w:val="24"/>
              </w:rPr>
              <w:t>Percentage of enrolments attributed to Welsh speakers</w:t>
            </w:r>
          </w:p>
        </w:tc>
      </w:tr>
      <w:tr w:rsidR="00A84ED8" w:rsidRPr="00A84ED8" w:rsidTr="00A84ED8">
        <w:tc>
          <w:tcPr>
            <w:tcW w:w="2165" w:type="dxa"/>
            <w:shd w:val="clear" w:color="auto" w:fill="F2DBDB" w:themeFill="accent2" w:themeFillTint="33"/>
          </w:tcPr>
          <w:p w:rsidR="00A84ED8" w:rsidRPr="00A84ED8" w:rsidRDefault="00A84ED8" w:rsidP="00085434">
            <w:pPr>
              <w:rPr>
                <w:rFonts w:ascii="Arial" w:hAnsi="Arial" w:cs="Arial"/>
                <w:sz w:val="24"/>
                <w:szCs w:val="24"/>
              </w:rPr>
            </w:pPr>
            <w:r w:rsidRPr="00A84ED8">
              <w:rPr>
                <w:rFonts w:ascii="Arial" w:hAnsi="Arial" w:cs="Arial"/>
                <w:sz w:val="24"/>
                <w:szCs w:val="24"/>
              </w:rPr>
              <w:t>Males</w:t>
            </w:r>
          </w:p>
        </w:tc>
        <w:tc>
          <w:tcPr>
            <w:tcW w:w="2273" w:type="dxa"/>
          </w:tcPr>
          <w:p w:rsidR="00A84ED8" w:rsidRPr="00A84ED8" w:rsidRDefault="00A84ED8" w:rsidP="00085434">
            <w:pPr>
              <w:rPr>
                <w:rFonts w:ascii="Arial" w:hAnsi="Arial" w:cs="Arial"/>
                <w:sz w:val="24"/>
                <w:szCs w:val="24"/>
              </w:rPr>
            </w:pPr>
            <w:r w:rsidRPr="00A84ED8">
              <w:rPr>
                <w:rFonts w:ascii="Arial" w:hAnsi="Arial" w:cs="Arial"/>
                <w:sz w:val="24"/>
                <w:szCs w:val="24"/>
              </w:rPr>
              <w:t>1283</w:t>
            </w:r>
          </w:p>
        </w:tc>
        <w:tc>
          <w:tcPr>
            <w:tcW w:w="2273" w:type="dxa"/>
          </w:tcPr>
          <w:p w:rsidR="00A84ED8" w:rsidRPr="00A84ED8" w:rsidRDefault="00A84ED8" w:rsidP="00085434">
            <w:pPr>
              <w:rPr>
                <w:rFonts w:ascii="Arial" w:hAnsi="Arial" w:cs="Arial"/>
                <w:sz w:val="24"/>
                <w:szCs w:val="24"/>
              </w:rPr>
            </w:pPr>
            <w:r w:rsidRPr="00A84ED8">
              <w:rPr>
                <w:rFonts w:ascii="Arial" w:hAnsi="Arial" w:cs="Arial"/>
                <w:sz w:val="24"/>
                <w:szCs w:val="24"/>
              </w:rPr>
              <w:t>11171</w:t>
            </w:r>
          </w:p>
        </w:tc>
        <w:tc>
          <w:tcPr>
            <w:tcW w:w="1811" w:type="dxa"/>
          </w:tcPr>
          <w:p w:rsidR="00A84ED8" w:rsidRPr="00A84ED8" w:rsidRDefault="00A84ED8" w:rsidP="00085434">
            <w:pPr>
              <w:rPr>
                <w:rFonts w:ascii="Arial" w:hAnsi="Arial" w:cs="Arial"/>
                <w:sz w:val="24"/>
                <w:szCs w:val="24"/>
              </w:rPr>
            </w:pPr>
            <w:r w:rsidRPr="00A84ED8">
              <w:rPr>
                <w:rFonts w:ascii="Arial" w:hAnsi="Arial" w:cs="Arial"/>
                <w:sz w:val="24"/>
                <w:szCs w:val="24"/>
              </w:rPr>
              <w:t>10.3%</w:t>
            </w:r>
          </w:p>
        </w:tc>
      </w:tr>
      <w:tr w:rsidR="00A84ED8" w:rsidRPr="00A84ED8" w:rsidTr="00A84ED8">
        <w:tc>
          <w:tcPr>
            <w:tcW w:w="2165" w:type="dxa"/>
            <w:shd w:val="clear" w:color="auto" w:fill="F2DBDB" w:themeFill="accent2" w:themeFillTint="33"/>
          </w:tcPr>
          <w:p w:rsidR="00A84ED8" w:rsidRPr="00A84ED8" w:rsidRDefault="00A84ED8" w:rsidP="00085434">
            <w:pPr>
              <w:rPr>
                <w:rFonts w:ascii="Arial" w:hAnsi="Arial" w:cs="Arial"/>
                <w:sz w:val="24"/>
                <w:szCs w:val="24"/>
              </w:rPr>
            </w:pPr>
            <w:r w:rsidRPr="00A84ED8">
              <w:rPr>
                <w:rFonts w:ascii="Arial" w:hAnsi="Arial" w:cs="Arial"/>
                <w:sz w:val="24"/>
                <w:szCs w:val="24"/>
              </w:rPr>
              <w:t>Females</w:t>
            </w:r>
          </w:p>
        </w:tc>
        <w:tc>
          <w:tcPr>
            <w:tcW w:w="2273" w:type="dxa"/>
          </w:tcPr>
          <w:p w:rsidR="00A84ED8" w:rsidRPr="00A84ED8" w:rsidRDefault="00A84ED8" w:rsidP="00085434">
            <w:pPr>
              <w:rPr>
                <w:rFonts w:ascii="Arial" w:hAnsi="Arial" w:cs="Arial"/>
                <w:sz w:val="24"/>
                <w:szCs w:val="24"/>
              </w:rPr>
            </w:pPr>
            <w:r w:rsidRPr="00A84ED8">
              <w:rPr>
                <w:rFonts w:ascii="Arial" w:hAnsi="Arial" w:cs="Arial"/>
                <w:sz w:val="24"/>
                <w:szCs w:val="24"/>
              </w:rPr>
              <w:t>1905</w:t>
            </w:r>
          </w:p>
        </w:tc>
        <w:tc>
          <w:tcPr>
            <w:tcW w:w="2273" w:type="dxa"/>
          </w:tcPr>
          <w:p w:rsidR="00A84ED8" w:rsidRPr="00A84ED8" w:rsidRDefault="00A84ED8" w:rsidP="00085434">
            <w:pPr>
              <w:rPr>
                <w:rFonts w:ascii="Arial" w:hAnsi="Arial" w:cs="Arial"/>
                <w:sz w:val="24"/>
                <w:szCs w:val="24"/>
              </w:rPr>
            </w:pPr>
            <w:r w:rsidRPr="00A84ED8">
              <w:rPr>
                <w:rFonts w:ascii="Arial" w:hAnsi="Arial" w:cs="Arial"/>
                <w:sz w:val="24"/>
                <w:szCs w:val="24"/>
              </w:rPr>
              <w:t>10688</w:t>
            </w:r>
          </w:p>
        </w:tc>
        <w:tc>
          <w:tcPr>
            <w:tcW w:w="1811" w:type="dxa"/>
          </w:tcPr>
          <w:p w:rsidR="00A84ED8" w:rsidRPr="00A84ED8" w:rsidRDefault="00A84ED8" w:rsidP="00085434">
            <w:pPr>
              <w:rPr>
                <w:rFonts w:ascii="Arial" w:hAnsi="Arial" w:cs="Arial"/>
                <w:sz w:val="24"/>
                <w:szCs w:val="24"/>
              </w:rPr>
            </w:pPr>
            <w:r w:rsidRPr="00A84ED8">
              <w:rPr>
                <w:rFonts w:ascii="Arial" w:hAnsi="Arial" w:cs="Arial"/>
                <w:sz w:val="24"/>
                <w:szCs w:val="24"/>
              </w:rPr>
              <w:t>15.1%</w:t>
            </w:r>
          </w:p>
        </w:tc>
      </w:tr>
      <w:tr w:rsidR="00A84ED8" w:rsidRPr="00A84ED8" w:rsidTr="00A84ED8">
        <w:tc>
          <w:tcPr>
            <w:tcW w:w="2165" w:type="dxa"/>
            <w:shd w:val="clear" w:color="auto" w:fill="F2DBDB" w:themeFill="accent2" w:themeFillTint="33"/>
          </w:tcPr>
          <w:p w:rsidR="00A84ED8" w:rsidRPr="00A84ED8" w:rsidRDefault="00A84ED8" w:rsidP="00085434">
            <w:pPr>
              <w:rPr>
                <w:rFonts w:ascii="Arial" w:hAnsi="Arial" w:cs="Arial"/>
                <w:sz w:val="24"/>
                <w:szCs w:val="24"/>
              </w:rPr>
            </w:pPr>
            <w:r w:rsidRPr="00A84ED8">
              <w:rPr>
                <w:rFonts w:ascii="Arial" w:hAnsi="Arial" w:cs="Arial"/>
                <w:sz w:val="24"/>
                <w:szCs w:val="24"/>
              </w:rPr>
              <w:t>Totals</w:t>
            </w:r>
          </w:p>
        </w:tc>
        <w:tc>
          <w:tcPr>
            <w:tcW w:w="2273" w:type="dxa"/>
          </w:tcPr>
          <w:p w:rsidR="00A84ED8" w:rsidRPr="00A84ED8" w:rsidRDefault="00A84ED8" w:rsidP="00085434">
            <w:pPr>
              <w:rPr>
                <w:rFonts w:ascii="Arial" w:hAnsi="Arial" w:cs="Arial"/>
                <w:sz w:val="24"/>
                <w:szCs w:val="24"/>
              </w:rPr>
            </w:pPr>
            <w:r w:rsidRPr="00A84ED8">
              <w:rPr>
                <w:rFonts w:ascii="Arial" w:hAnsi="Arial" w:cs="Arial"/>
                <w:sz w:val="24"/>
                <w:szCs w:val="24"/>
              </w:rPr>
              <w:t>3188</w:t>
            </w:r>
          </w:p>
        </w:tc>
        <w:tc>
          <w:tcPr>
            <w:tcW w:w="2273" w:type="dxa"/>
          </w:tcPr>
          <w:p w:rsidR="00A84ED8" w:rsidRPr="00A84ED8" w:rsidRDefault="00A84ED8" w:rsidP="00085434">
            <w:pPr>
              <w:rPr>
                <w:rFonts w:ascii="Arial" w:hAnsi="Arial" w:cs="Arial"/>
                <w:sz w:val="24"/>
                <w:szCs w:val="24"/>
              </w:rPr>
            </w:pPr>
            <w:r w:rsidRPr="00A84ED8">
              <w:rPr>
                <w:rFonts w:ascii="Arial" w:hAnsi="Arial" w:cs="Arial"/>
                <w:sz w:val="24"/>
                <w:szCs w:val="24"/>
              </w:rPr>
              <w:t>21859</w:t>
            </w:r>
          </w:p>
        </w:tc>
        <w:tc>
          <w:tcPr>
            <w:tcW w:w="1811" w:type="dxa"/>
          </w:tcPr>
          <w:p w:rsidR="00A84ED8" w:rsidRPr="00A84ED8" w:rsidRDefault="00A84ED8" w:rsidP="00085434">
            <w:pPr>
              <w:rPr>
                <w:rFonts w:ascii="Arial" w:hAnsi="Arial" w:cs="Arial"/>
                <w:sz w:val="24"/>
                <w:szCs w:val="24"/>
              </w:rPr>
            </w:pPr>
            <w:r w:rsidRPr="00A84ED8">
              <w:rPr>
                <w:rFonts w:ascii="Arial" w:hAnsi="Arial" w:cs="Arial"/>
                <w:sz w:val="24"/>
                <w:szCs w:val="24"/>
              </w:rPr>
              <w:t xml:space="preserve">12.7% </w:t>
            </w:r>
          </w:p>
        </w:tc>
      </w:tr>
    </w:tbl>
    <w:p w:rsidR="00A84ED8" w:rsidRPr="00A84ED8" w:rsidRDefault="00A84ED8" w:rsidP="00A84ED8">
      <w:pPr>
        <w:rPr>
          <w:rFonts w:ascii="Arial" w:hAnsi="Arial" w:cs="Arial"/>
          <w:sz w:val="24"/>
          <w:szCs w:val="24"/>
        </w:rPr>
      </w:pPr>
    </w:p>
    <w:p w:rsidR="00A84ED8" w:rsidRPr="00A84ED8" w:rsidRDefault="00E0463F" w:rsidP="00A84ED8">
      <w:pPr>
        <w:rPr>
          <w:rFonts w:ascii="Arial" w:hAnsi="Arial" w:cs="Arial"/>
          <w:sz w:val="24"/>
          <w:szCs w:val="24"/>
        </w:rPr>
      </w:pPr>
      <w:r>
        <w:rPr>
          <w:rFonts w:ascii="Arial" w:hAnsi="Arial" w:cs="Arial"/>
          <w:sz w:val="24"/>
          <w:szCs w:val="24"/>
        </w:rPr>
        <w:t>The trend</w:t>
      </w:r>
      <w:r w:rsidR="00A84ED8" w:rsidRPr="00A84ED8">
        <w:rPr>
          <w:rFonts w:ascii="Arial" w:hAnsi="Arial" w:cs="Arial"/>
          <w:sz w:val="24"/>
          <w:szCs w:val="24"/>
        </w:rPr>
        <w:t xml:space="preserve"> over the three years in question can be seen in the following charts: </w:t>
      </w:r>
    </w:p>
    <w:p w:rsidR="00A84ED8" w:rsidRPr="00A84ED8" w:rsidRDefault="00A84ED8" w:rsidP="00A84ED8">
      <w:pPr>
        <w:rPr>
          <w:rFonts w:ascii="Arial" w:hAnsi="Arial" w:cs="Arial"/>
          <w:sz w:val="24"/>
          <w:szCs w:val="24"/>
        </w:rPr>
      </w:pPr>
    </w:p>
    <w:p w:rsidR="00A84ED8" w:rsidRPr="00A84ED8" w:rsidRDefault="00370FE2" w:rsidP="00A84ED8">
      <w:pPr>
        <w:jc w:val="center"/>
        <w:rPr>
          <w:rFonts w:ascii="Arial" w:hAnsi="Arial" w:cs="Arial"/>
          <w:sz w:val="24"/>
          <w:szCs w:val="24"/>
        </w:rPr>
      </w:pPr>
      <w:r w:rsidRPr="00370FE2">
        <w:rPr>
          <w:rFonts w:ascii="Arial" w:hAnsi="Arial" w:cs="Arial"/>
          <w:noProof/>
          <w:sz w:val="24"/>
          <w:szCs w:val="24"/>
        </w:rPr>
        <w:drawing>
          <wp:inline distT="0" distB="0" distL="0" distR="0">
            <wp:extent cx="4572000" cy="2743200"/>
            <wp:effectExtent l="0" t="0" r="0" b="0"/>
            <wp:docPr id="70"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A84ED8" w:rsidRPr="00A84ED8" w:rsidRDefault="00A84ED8" w:rsidP="00A84ED8">
      <w:pPr>
        <w:rPr>
          <w:rFonts w:ascii="Arial" w:hAnsi="Arial" w:cs="Arial"/>
          <w:sz w:val="24"/>
          <w:szCs w:val="24"/>
        </w:rPr>
      </w:pPr>
    </w:p>
    <w:p w:rsidR="00A84ED8" w:rsidRPr="00A84ED8" w:rsidRDefault="00A84ED8" w:rsidP="00A84ED8">
      <w:pPr>
        <w:rPr>
          <w:rFonts w:ascii="Arial" w:hAnsi="Arial" w:cs="Arial"/>
          <w:sz w:val="24"/>
          <w:szCs w:val="24"/>
        </w:rPr>
      </w:pPr>
      <w:r w:rsidRPr="00A84ED8">
        <w:rPr>
          <w:rFonts w:ascii="Arial" w:hAnsi="Arial" w:cs="Arial"/>
          <w:sz w:val="24"/>
          <w:szCs w:val="24"/>
        </w:rPr>
        <w:t>It can be seen that for every year in question the percentage of female enrolments from Welsh speakers is greater than that for male Welsh speakers. This is in line with the enrolment data by gender. In 2007</w:t>
      </w:r>
      <w:r w:rsidR="007D44FC">
        <w:rPr>
          <w:rFonts w:ascii="Arial" w:hAnsi="Arial" w:cs="Arial"/>
          <w:sz w:val="24"/>
          <w:szCs w:val="24"/>
        </w:rPr>
        <w:t>-2008,</w:t>
      </w:r>
      <w:r w:rsidRPr="00A84ED8">
        <w:rPr>
          <w:rFonts w:ascii="Arial" w:hAnsi="Arial" w:cs="Arial"/>
          <w:sz w:val="24"/>
          <w:szCs w:val="24"/>
        </w:rPr>
        <w:t xml:space="preserve"> 10.6 % of enrolments were from Welsh speakers. This increased to 13.6 % in 2008-2009 and subsequently decreased to 12.7% in the following year. </w:t>
      </w:r>
    </w:p>
    <w:p w:rsidR="00A84ED8" w:rsidRPr="00A84ED8" w:rsidRDefault="00A84ED8" w:rsidP="00A84ED8">
      <w:pPr>
        <w:rPr>
          <w:rFonts w:ascii="Arial" w:hAnsi="Arial" w:cs="Arial"/>
          <w:sz w:val="24"/>
          <w:szCs w:val="24"/>
        </w:rPr>
      </w:pPr>
    </w:p>
    <w:p w:rsidR="00A84ED8" w:rsidRPr="00A84ED8" w:rsidRDefault="00A84ED8" w:rsidP="00A84ED8">
      <w:pPr>
        <w:rPr>
          <w:rFonts w:ascii="Arial" w:hAnsi="Arial" w:cs="Arial"/>
          <w:sz w:val="24"/>
          <w:szCs w:val="24"/>
        </w:rPr>
      </w:pPr>
      <w:r w:rsidRPr="00A84ED8">
        <w:rPr>
          <w:rFonts w:ascii="Arial" w:hAnsi="Arial" w:cs="Arial"/>
          <w:sz w:val="24"/>
          <w:szCs w:val="24"/>
        </w:rPr>
        <w:t>The retention, attainment and success of Welsh</w:t>
      </w:r>
      <w:r w:rsidR="007D44FC">
        <w:rPr>
          <w:rFonts w:ascii="Arial" w:hAnsi="Arial" w:cs="Arial"/>
          <w:sz w:val="24"/>
          <w:szCs w:val="24"/>
        </w:rPr>
        <w:t>-</w:t>
      </w:r>
      <w:r w:rsidRPr="00A84ED8">
        <w:rPr>
          <w:rFonts w:ascii="Arial" w:hAnsi="Arial" w:cs="Arial"/>
          <w:sz w:val="24"/>
          <w:szCs w:val="24"/>
        </w:rPr>
        <w:t>speaking learners were compared to that o</w:t>
      </w:r>
      <w:r w:rsidR="00370FE2">
        <w:rPr>
          <w:rFonts w:ascii="Arial" w:hAnsi="Arial" w:cs="Arial"/>
          <w:sz w:val="24"/>
          <w:szCs w:val="24"/>
        </w:rPr>
        <w:t>f non</w:t>
      </w:r>
      <w:r w:rsidR="007D44FC">
        <w:rPr>
          <w:rFonts w:ascii="Arial" w:hAnsi="Arial" w:cs="Arial"/>
          <w:sz w:val="24"/>
          <w:szCs w:val="24"/>
        </w:rPr>
        <w:t>-</w:t>
      </w:r>
      <w:r w:rsidR="00370FE2">
        <w:rPr>
          <w:rFonts w:ascii="Arial" w:hAnsi="Arial" w:cs="Arial"/>
          <w:sz w:val="24"/>
          <w:szCs w:val="24"/>
        </w:rPr>
        <w:t xml:space="preserve">Welsh speaking learners. </w:t>
      </w:r>
    </w:p>
    <w:p w:rsidR="00A84ED8" w:rsidRDefault="00A84ED8" w:rsidP="00A84ED8">
      <w:pPr>
        <w:rPr>
          <w:rFonts w:ascii="Arial" w:hAnsi="Arial" w:cs="Arial"/>
          <w:sz w:val="24"/>
          <w:szCs w:val="24"/>
        </w:rPr>
      </w:pPr>
      <w:r w:rsidRPr="00A84ED8">
        <w:rPr>
          <w:rFonts w:ascii="Arial" w:hAnsi="Arial" w:cs="Arial"/>
          <w:sz w:val="24"/>
          <w:szCs w:val="24"/>
        </w:rPr>
        <w:t>The chart below shows the retention, attainment and success of Welsh speaking males compared to non</w:t>
      </w:r>
      <w:r w:rsidR="007D44FC">
        <w:rPr>
          <w:rFonts w:ascii="Arial" w:hAnsi="Arial" w:cs="Arial"/>
          <w:sz w:val="24"/>
          <w:szCs w:val="24"/>
        </w:rPr>
        <w:t>-</w:t>
      </w:r>
      <w:r w:rsidRPr="00A84ED8">
        <w:rPr>
          <w:rFonts w:ascii="Arial" w:hAnsi="Arial" w:cs="Arial"/>
          <w:sz w:val="24"/>
          <w:szCs w:val="24"/>
        </w:rPr>
        <w:t>Welsh speaking males in 2007-2008</w:t>
      </w:r>
      <w:r w:rsidR="007D44FC">
        <w:rPr>
          <w:rFonts w:ascii="Arial" w:hAnsi="Arial" w:cs="Arial"/>
          <w:sz w:val="24"/>
          <w:szCs w:val="24"/>
        </w:rPr>
        <w:t>:</w:t>
      </w:r>
    </w:p>
    <w:p w:rsidR="00E0463F" w:rsidRPr="00A84ED8" w:rsidRDefault="00E0463F" w:rsidP="00A84ED8">
      <w:pPr>
        <w:rPr>
          <w:rFonts w:ascii="Arial" w:hAnsi="Arial" w:cs="Arial"/>
          <w:sz w:val="24"/>
          <w:szCs w:val="24"/>
        </w:rPr>
      </w:pPr>
    </w:p>
    <w:p w:rsidR="00A84ED8" w:rsidRPr="00A84ED8" w:rsidRDefault="00045548" w:rsidP="00045548">
      <w:pPr>
        <w:jc w:val="center"/>
        <w:rPr>
          <w:rFonts w:ascii="Arial" w:hAnsi="Arial" w:cs="Arial"/>
          <w:sz w:val="24"/>
          <w:szCs w:val="24"/>
        </w:rPr>
      </w:pPr>
      <w:r w:rsidRPr="00045548">
        <w:rPr>
          <w:rFonts w:ascii="Arial" w:hAnsi="Arial" w:cs="Arial"/>
          <w:noProof/>
          <w:sz w:val="24"/>
          <w:szCs w:val="24"/>
        </w:rPr>
        <w:drawing>
          <wp:inline distT="0" distB="0" distL="0" distR="0">
            <wp:extent cx="4572000" cy="2743200"/>
            <wp:effectExtent l="19050" t="0" r="0" b="0"/>
            <wp:docPr id="71"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A84ED8" w:rsidRPr="00A84ED8" w:rsidRDefault="00A84ED8" w:rsidP="00A84ED8">
      <w:pPr>
        <w:rPr>
          <w:rFonts w:ascii="Arial" w:hAnsi="Arial" w:cs="Arial"/>
          <w:sz w:val="24"/>
          <w:szCs w:val="24"/>
        </w:rPr>
      </w:pPr>
    </w:p>
    <w:p w:rsidR="00A84ED8" w:rsidRPr="00A84ED8" w:rsidRDefault="00A84ED8" w:rsidP="00A84ED8">
      <w:pPr>
        <w:rPr>
          <w:rFonts w:ascii="Arial" w:hAnsi="Arial" w:cs="Arial"/>
          <w:sz w:val="24"/>
          <w:szCs w:val="24"/>
        </w:rPr>
      </w:pPr>
      <w:r w:rsidRPr="00A84ED8">
        <w:rPr>
          <w:rFonts w:ascii="Arial" w:hAnsi="Arial" w:cs="Arial"/>
          <w:sz w:val="24"/>
          <w:szCs w:val="24"/>
        </w:rPr>
        <w:t>It can be seen that for 2007-2008 the retention, attainment and success for male non</w:t>
      </w:r>
      <w:r w:rsidR="007D44FC">
        <w:rPr>
          <w:rFonts w:ascii="Arial" w:hAnsi="Arial" w:cs="Arial"/>
          <w:sz w:val="24"/>
          <w:szCs w:val="24"/>
        </w:rPr>
        <w:t>-</w:t>
      </w:r>
      <w:r w:rsidRPr="00A84ED8">
        <w:rPr>
          <w:rFonts w:ascii="Arial" w:hAnsi="Arial" w:cs="Arial"/>
          <w:sz w:val="24"/>
          <w:szCs w:val="24"/>
        </w:rPr>
        <w:t>Welsh speakers slightly exceeds that of male Welsh speakers</w:t>
      </w:r>
      <w:r w:rsidR="00045548">
        <w:rPr>
          <w:rFonts w:ascii="Arial" w:hAnsi="Arial" w:cs="Arial"/>
          <w:sz w:val="24"/>
          <w:szCs w:val="24"/>
        </w:rPr>
        <w:t xml:space="preserve">. </w:t>
      </w:r>
    </w:p>
    <w:p w:rsidR="00A84ED8" w:rsidRDefault="00A84ED8" w:rsidP="00A84ED8">
      <w:pPr>
        <w:rPr>
          <w:rFonts w:ascii="Arial" w:hAnsi="Arial" w:cs="Arial"/>
          <w:sz w:val="24"/>
          <w:szCs w:val="24"/>
        </w:rPr>
      </w:pPr>
      <w:r w:rsidRPr="00A84ED8">
        <w:rPr>
          <w:rFonts w:ascii="Arial" w:hAnsi="Arial" w:cs="Arial"/>
          <w:sz w:val="24"/>
          <w:szCs w:val="24"/>
        </w:rPr>
        <w:t>The chart below shows the retention, attainment and success of Welsh speaking females compared to non</w:t>
      </w:r>
      <w:r w:rsidR="007D44FC">
        <w:rPr>
          <w:rFonts w:ascii="Arial" w:hAnsi="Arial" w:cs="Arial"/>
          <w:sz w:val="24"/>
          <w:szCs w:val="24"/>
        </w:rPr>
        <w:t>-</w:t>
      </w:r>
      <w:r w:rsidRPr="00A84ED8">
        <w:rPr>
          <w:rFonts w:ascii="Arial" w:hAnsi="Arial" w:cs="Arial"/>
          <w:sz w:val="24"/>
          <w:szCs w:val="24"/>
        </w:rPr>
        <w:t>Welsh speaking females in 2007-2008</w:t>
      </w:r>
      <w:r w:rsidR="007D44FC">
        <w:rPr>
          <w:rFonts w:ascii="Arial" w:hAnsi="Arial" w:cs="Arial"/>
          <w:sz w:val="24"/>
          <w:szCs w:val="24"/>
        </w:rPr>
        <w:t>:</w:t>
      </w:r>
    </w:p>
    <w:p w:rsidR="00E0463F" w:rsidRPr="00A84ED8" w:rsidRDefault="00E0463F" w:rsidP="00A84ED8">
      <w:pPr>
        <w:rPr>
          <w:rFonts w:ascii="Arial" w:hAnsi="Arial" w:cs="Arial"/>
          <w:sz w:val="24"/>
          <w:szCs w:val="24"/>
        </w:rPr>
      </w:pPr>
    </w:p>
    <w:p w:rsidR="00A84ED8" w:rsidRPr="00A84ED8" w:rsidRDefault="00045548" w:rsidP="00045548">
      <w:pPr>
        <w:jc w:val="center"/>
        <w:rPr>
          <w:rFonts w:ascii="Arial" w:hAnsi="Arial" w:cs="Arial"/>
          <w:sz w:val="24"/>
          <w:szCs w:val="24"/>
        </w:rPr>
      </w:pPr>
      <w:r w:rsidRPr="00045548">
        <w:rPr>
          <w:rFonts w:ascii="Arial" w:hAnsi="Arial" w:cs="Arial"/>
          <w:noProof/>
          <w:sz w:val="24"/>
          <w:szCs w:val="24"/>
        </w:rPr>
        <w:drawing>
          <wp:inline distT="0" distB="0" distL="0" distR="0">
            <wp:extent cx="4572000" cy="2743200"/>
            <wp:effectExtent l="19050" t="0" r="0" b="0"/>
            <wp:docPr id="72"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A84ED8" w:rsidRPr="00A84ED8" w:rsidRDefault="00A84ED8" w:rsidP="00A84ED8">
      <w:pPr>
        <w:rPr>
          <w:rFonts w:ascii="Arial" w:hAnsi="Arial" w:cs="Arial"/>
          <w:sz w:val="24"/>
          <w:szCs w:val="24"/>
        </w:rPr>
      </w:pPr>
      <w:r w:rsidRPr="00A84ED8">
        <w:rPr>
          <w:rFonts w:ascii="Arial" w:hAnsi="Arial" w:cs="Arial"/>
          <w:sz w:val="24"/>
          <w:szCs w:val="24"/>
        </w:rPr>
        <w:t>It can be seen that for 2007-2008 the retention, attainment and success for female non Welsh speakers slightly exceeds that of female Welsh speakers</w:t>
      </w:r>
      <w:r w:rsidR="00045548">
        <w:rPr>
          <w:rFonts w:ascii="Arial" w:hAnsi="Arial" w:cs="Arial"/>
          <w:sz w:val="24"/>
          <w:szCs w:val="24"/>
        </w:rPr>
        <w:t>.</w:t>
      </w:r>
    </w:p>
    <w:p w:rsidR="00A84ED8" w:rsidRPr="00A84ED8" w:rsidRDefault="00A84ED8" w:rsidP="00A84ED8">
      <w:pPr>
        <w:rPr>
          <w:rFonts w:ascii="Arial" w:hAnsi="Arial" w:cs="Arial"/>
          <w:sz w:val="24"/>
          <w:szCs w:val="24"/>
        </w:rPr>
      </w:pPr>
      <w:r w:rsidRPr="00A84ED8">
        <w:rPr>
          <w:rFonts w:ascii="Arial" w:hAnsi="Arial" w:cs="Arial"/>
          <w:sz w:val="24"/>
          <w:szCs w:val="24"/>
        </w:rPr>
        <w:t>The chart below shows the retention, attainment and success of Welsh speaking males compared to non</w:t>
      </w:r>
      <w:r w:rsidR="007D44FC">
        <w:rPr>
          <w:rFonts w:ascii="Arial" w:hAnsi="Arial" w:cs="Arial"/>
          <w:sz w:val="24"/>
          <w:szCs w:val="24"/>
        </w:rPr>
        <w:t>-</w:t>
      </w:r>
      <w:r w:rsidRPr="00A84ED8">
        <w:rPr>
          <w:rFonts w:ascii="Arial" w:hAnsi="Arial" w:cs="Arial"/>
          <w:sz w:val="24"/>
          <w:szCs w:val="24"/>
        </w:rPr>
        <w:t>Wel</w:t>
      </w:r>
      <w:r w:rsidR="001B4D7B">
        <w:rPr>
          <w:rFonts w:ascii="Arial" w:hAnsi="Arial" w:cs="Arial"/>
          <w:sz w:val="24"/>
          <w:szCs w:val="24"/>
        </w:rPr>
        <w:t>sh speaking males in 2008-2009</w:t>
      </w:r>
      <w:r w:rsidR="00752E75">
        <w:rPr>
          <w:rFonts w:ascii="Arial" w:hAnsi="Arial" w:cs="Arial"/>
          <w:sz w:val="24"/>
          <w:szCs w:val="24"/>
        </w:rPr>
        <w:t>:</w:t>
      </w:r>
    </w:p>
    <w:p w:rsidR="00A84ED8" w:rsidRDefault="001B4D7B" w:rsidP="00FE3D17">
      <w:pPr>
        <w:jc w:val="center"/>
        <w:rPr>
          <w:rFonts w:ascii="Arial" w:hAnsi="Arial" w:cs="Arial"/>
          <w:sz w:val="24"/>
          <w:szCs w:val="24"/>
        </w:rPr>
      </w:pPr>
      <w:r w:rsidRPr="001B4D7B">
        <w:rPr>
          <w:rFonts w:ascii="Arial" w:hAnsi="Arial" w:cs="Arial"/>
          <w:noProof/>
          <w:sz w:val="24"/>
          <w:szCs w:val="24"/>
        </w:rPr>
        <w:drawing>
          <wp:inline distT="0" distB="0" distL="0" distR="0">
            <wp:extent cx="4837622" cy="2717321"/>
            <wp:effectExtent l="19050" t="0" r="1078" b="0"/>
            <wp:docPr id="73"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0463F" w:rsidRPr="00A84ED8" w:rsidRDefault="00E0463F" w:rsidP="00FE3D17">
      <w:pPr>
        <w:jc w:val="center"/>
        <w:rPr>
          <w:rFonts w:ascii="Arial" w:hAnsi="Arial" w:cs="Arial"/>
          <w:sz w:val="24"/>
          <w:szCs w:val="24"/>
        </w:rPr>
      </w:pPr>
    </w:p>
    <w:p w:rsidR="00A84ED8" w:rsidRPr="00A84ED8" w:rsidRDefault="00A84ED8" w:rsidP="00A84ED8">
      <w:pPr>
        <w:rPr>
          <w:rFonts w:ascii="Arial" w:hAnsi="Arial" w:cs="Arial"/>
          <w:sz w:val="24"/>
          <w:szCs w:val="24"/>
        </w:rPr>
      </w:pPr>
      <w:r w:rsidRPr="00A84ED8">
        <w:rPr>
          <w:rFonts w:ascii="Arial" w:hAnsi="Arial" w:cs="Arial"/>
          <w:sz w:val="24"/>
          <w:szCs w:val="24"/>
        </w:rPr>
        <w:t>Again</w:t>
      </w:r>
      <w:r w:rsidR="007D44FC">
        <w:rPr>
          <w:rFonts w:ascii="Arial" w:hAnsi="Arial" w:cs="Arial"/>
          <w:sz w:val="24"/>
          <w:szCs w:val="24"/>
        </w:rPr>
        <w:t>,</w:t>
      </w:r>
      <w:r w:rsidRPr="00A84ED8">
        <w:rPr>
          <w:rFonts w:ascii="Arial" w:hAnsi="Arial" w:cs="Arial"/>
          <w:sz w:val="24"/>
          <w:szCs w:val="24"/>
        </w:rPr>
        <w:t xml:space="preserve"> it can be seen that the retention, attainment and success of non</w:t>
      </w:r>
      <w:r w:rsidR="007D44FC">
        <w:rPr>
          <w:rFonts w:ascii="Arial" w:hAnsi="Arial" w:cs="Arial"/>
          <w:sz w:val="24"/>
          <w:szCs w:val="24"/>
        </w:rPr>
        <w:t>-</w:t>
      </w:r>
      <w:r w:rsidRPr="00A84ED8">
        <w:rPr>
          <w:rFonts w:ascii="Arial" w:hAnsi="Arial" w:cs="Arial"/>
          <w:sz w:val="24"/>
          <w:szCs w:val="24"/>
        </w:rPr>
        <w:t xml:space="preserve">Welsh speaking males slightly exceeds that of Welsh speaking males. </w:t>
      </w:r>
    </w:p>
    <w:p w:rsidR="00A84ED8" w:rsidRPr="00A84ED8" w:rsidRDefault="00A84ED8" w:rsidP="00A84ED8">
      <w:pPr>
        <w:rPr>
          <w:rFonts w:ascii="Arial" w:hAnsi="Arial" w:cs="Arial"/>
          <w:sz w:val="24"/>
          <w:szCs w:val="24"/>
        </w:rPr>
      </w:pPr>
      <w:r w:rsidRPr="00A84ED8">
        <w:rPr>
          <w:rFonts w:ascii="Arial" w:hAnsi="Arial" w:cs="Arial"/>
          <w:sz w:val="24"/>
          <w:szCs w:val="24"/>
        </w:rPr>
        <w:t>The chart below shows the retention, attainment and success of Welsh</w:t>
      </w:r>
      <w:r w:rsidR="007D44FC">
        <w:rPr>
          <w:rFonts w:ascii="Arial" w:hAnsi="Arial" w:cs="Arial"/>
          <w:sz w:val="24"/>
          <w:szCs w:val="24"/>
        </w:rPr>
        <w:t>-</w:t>
      </w:r>
      <w:r w:rsidRPr="00A84ED8">
        <w:rPr>
          <w:rFonts w:ascii="Arial" w:hAnsi="Arial" w:cs="Arial"/>
          <w:sz w:val="24"/>
          <w:szCs w:val="24"/>
        </w:rPr>
        <w:t>speaking females compared to non</w:t>
      </w:r>
      <w:r w:rsidR="007D44FC">
        <w:rPr>
          <w:rFonts w:ascii="Arial" w:hAnsi="Arial" w:cs="Arial"/>
          <w:sz w:val="24"/>
          <w:szCs w:val="24"/>
        </w:rPr>
        <w:t>-</w:t>
      </w:r>
      <w:r w:rsidRPr="00A84ED8">
        <w:rPr>
          <w:rFonts w:ascii="Arial" w:hAnsi="Arial" w:cs="Arial"/>
          <w:sz w:val="24"/>
          <w:szCs w:val="24"/>
        </w:rPr>
        <w:t>Welsh speaking females in 2008-2009</w:t>
      </w:r>
      <w:r w:rsidR="00752E75">
        <w:rPr>
          <w:rFonts w:ascii="Arial" w:hAnsi="Arial" w:cs="Arial"/>
          <w:sz w:val="24"/>
          <w:szCs w:val="24"/>
        </w:rPr>
        <w:t>:</w:t>
      </w:r>
    </w:p>
    <w:p w:rsidR="00A84ED8" w:rsidRPr="00A84ED8" w:rsidRDefault="00A84ED8" w:rsidP="00A84ED8">
      <w:pPr>
        <w:rPr>
          <w:rFonts w:ascii="Arial" w:hAnsi="Arial" w:cs="Arial"/>
          <w:sz w:val="24"/>
          <w:szCs w:val="24"/>
        </w:rPr>
      </w:pPr>
    </w:p>
    <w:p w:rsidR="00A84ED8" w:rsidRPr="00A84ED8" w:rsidRDefault="00FE3D17" w:rsidP="00FE3D17">
      <w:pPr>
        <w:jc w:val="center"/>
        <w:rPr>
          <w:rFonts w:ascii="Arial" w:hAnsi="Arial" w:cs="Arial"/>
          <w:sz w:val="24"/>
          <w:szCs w:val="24"/>
        </w:rPr>
      </w:pPr>
      <w:r w:rsidRPr="00FE3D17">
        <w:rPr>
          <w:rFonts w:ascii="Arial" w:hAnsi="Arial" w:cs="Arial"/>
          <w:noProof/>
          <w:sz w:val="24"/>
          <w:szCs w:val="24"/>
        </w:rPr>
        <w:drawing>
          <wp:inline distT="0" distB="0" distL="0" distR="0">
            <wp:extent cx="5156799" cy="3053751"/>
            <wp:effectExtent l="19050" t="0" r="5751" b="0"/>
            <wp:docPr id="54"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A84ED8" w:rsidRPr="00A84ED8" w:rsidRDefault="00FE3D17" w:rsidP="00A84ED8">
      <w:pPr>
        <w:rPr>
          <w:rFonts w:ascii="Arial" w:hAnsi="Arial" w:cs="Arial"/>
          <w:sz w:val="24"/>
          <w:szCs w:val="24"/>
        </w:rPr>
      </w:pPr>
      <w:r>
        <w:rPr>
          <w:rFonts w:ascii="Arial" w:hAnsi="Arial" w:cs="Arial"/>
          <w:sz w:val="24"/>
          <w:szCs w:val="24"/>
        </w:rPr>
        <w:t>I</w:t>
      </w:r>
      <w:r w:rsidR="00A84ED8" w:rsidRPr="00A84ED8">
        <w:rPr>
          <w:rFonts w:ascii="Arial" w:hAnsi="Arial" w:cs="Arial"/>
          <w:sz w:val="24"/>
          <w:szCs w:val="24"/>
        </w:rPr>
        <w:t>t can be seen that although the retention of Welsh</w:t>
      </w:r>
      <w:r w:rsidR="007D44FC">
        <w:rPr>
          <w:rFonts w:ascii="Arial" w:hAnsi="Arial" w:cs="Arial"/>
          <w:sz w:val="24"/>
          <w:szCs w:val="24"/>
        </w:rPr>
        <w:t>-</w:t>
      </w:r>
      <w:r w:rsidR="00A84ED8" w:rsidRPr="00A84ED8">
        <w:rPr>
          <w:rFonts w:ascii="Arial" w:hAnsi="Arial" w:cs="Arial"/>
          <w:sz w:val="24"/>
          <w:szCs w:val="24"/>
        </w:rPr>
        <w:t>speaking females slightly exceeds that of non</w:t>
      </w:r>
      <w:r w:rsidR="007D44FC">
        <w:rPr>
          <w:rFonts w:ascii="Arial" w:hAnsi="Arial" w:cs="Arial"/>
          <w:sz w:val="24"/>
          <w:szCs w:val="24"/>
        </w:rPr>
        <w:t>-</w:t>
      </w:r>
      <w:r w:rsidR="00A84ED8" w:rsidRPr="00A84ED8">
        <w:rPr>
          <w:rFonts w:ascii="Arial" w:hAnsi="Arial" w:cs="Arial"/>
          <w:sz w:val="24"/>
          <w:szCs w:val="24"/>
        </w:rPr>
        <w:t>Welsh</w:t>
      </w:r>
      <w:r w:rsidR="007D44FC">
        <w:rPr>
          <w:rFonts w:ascii="Arial" w:hAnsi="Arial" w:cs="Arial"/>
          <w:sz w:val="24"/>
          <w:szCs w:val="24"/>
        </w:rPr>
        <w:t>-</w:t>
      </w:r>
      <w:r w:rsidR="00A84ED8" w:rsidRPr="00A84ED8">
        <w:rPr>
          <w:rFonts w:ascii="Arial" w:hAnsi="Arial" w:cs="Arial"/>
          <w:sz w:val="24"/>
          <w:szCs w:val="24"/>
        </w:rPr>
        <w:t>speaking females that the attainment and success rates of Welsh</w:t>
      </w:r>
      <w:r w:rsidR="007D44FC">
        <w:rPr>
          <w:rFonts w:ascii="Arial" w:hAnsi="Arial" w:cs="Arial"/>
          <w:sz w:val="24"/>
          <w:szCs w:val="24"/>
        </w:rPr>
        <w:t>-</w:t>
      </w:r>
      <w:r w:rsidR="00A84ED8" w:rsidRPr="00A84ED8">
        <w:rPr>
          <w:rFonts w:ascii="Arial" w:hAnsi="Arial" w:cs="Arial"/>
          <w:sz w:val="24"/>
          <w:szCs w:val="24"/>
        </w:rPr>
        <w:t>speaking females lags considerably behind that of their non</w:t>
      </w:r>
      <w:r w:rsidR="007D44FC">
        <w:rPr>
          <w:rFonts w:ascii="Arial" w:hAnsi="Arial" w:cs="Arial"/>
          <w:sz w:val="24"/>
          <w:szCs w:val="24"/>
        </w:rPr>
        <w:t>-</w:t>
      </w:r>
      <w:r w:rsidR="00A84ED8" w:rsidRPr="00A84ED8">
        <w:rPr>
          <w:rFonts w:ascii="Arial" w:hAnsi="Arial" w:cs="Arial"/>
          <w:sz w:val="24"/>
          <w:szCs w:val="24"/>
        </w:rPr>
        <w:t>Welsh</w:t>
      </w:r>
      <w:r w:rsidR="007D44FC">
        <w:rPr>
          <w:rFonts w:ascii="Arial" w:hAnsi="Arial" w:cs="Arial"/>
          <w:sz w:val="24"/>
          <w:szCs w:val="24"/>
        </w:rPr>
        <w:t>-</w:t>
      </w:r>
      <w:r w:rsidR="00A84ED8" w:rsidRPr="00A84ED8">
        <w:rPr>
          <w:rFonts w:ascii="Arial" w:hAnsi="Arial" w:cs="Arial"/>
          <w:sz w:val="24"/>
          <w:szCs w:val="24"/>
        </w:rPr>
        <w:t xml:space="preserve">speaking counterparts. </w:t>
      </w:r>
    </w:p>
    <w:p w:rsidR="00E0463F" w:rsidRDefault="00A84ED8" w:rsidP="00A84ED8">
      <w:pPr>
        <w:rPr>
          <w:rFonts w:ascii="Arial" w:hAnsi="Arial" w:cs="Arial"/>
          <w:sz w:val="24"/>
          <w:szCs w:val="24"/>
        </w:rPr>
      </w:pPr>
      <w:r w:rsidRPr="00A84ED8">
        <w:rPr>
          <w:rFonts w:ascii="Arial" w:hAnsi="Arial" w:cs="Arial"/>
          <w:sz w:val="24"/>
          <w:szCs w:val="24"/>
        </w:rPr>
        <w:t>The chart below shows the retention, attainment and success of Welsh</w:t>
      </w:r>
      <w:r w:rsidR="007D44FC">
        <w:rPr>
          <w:rFonts w:ascii="Arial" w:hAnsi="Arial" w:cs="Arial"/>
          <w:sz w:val="24"/>
          <w:szCs w:val="24"/>
        </w:rPr>
        <w:t>-</w:t>
      </w:r>
      <w:r w:rsidRPr="00A84ED8">
        <w:rPr>
          <w:rFonts w:ascii="Arial" w:hAnsi="Arial" w:cs="Arial"/>
          <w:sz w:val="24"/>
          <w:szCs w:val="24"/>
        </w:rPr>
        <w:t>speaking males compared to non</w:t>
      </w:r>
      <w:r w:rsidR="007D44FC">
        <w:rPr>
          <w:rFonts w:ascii="Arial" w:hAnsi="Arial" w:cs="Arial"/>
          <w:sz w:val="24"/>
          <w:szCs w:val="24"/>
        </w:rPr>
        <w:t>-</w:t>
      </w:r>
      <w:r w:rsidRPr="00A84ED8">
        <w:rPr>
          <w:rFonts w:ascii="Arial" w:hAnsi="Arial" w:cs="Arial"/>
          <w:sz w:val="24"/>
          <w:szCs w:val="24"/>
        </w:rPr>
        <w:t>We</w:t>
      </w:r>
      <w:r w:rsidR="00FE3D17">
        <w:rPr>
          <w:rFonts w:ascii="Arial" w:hAnsi="Arial" w:cs="Arial"/>
          <w:sz w:val="24"/>
          <w:szCs w:val="24"/>
        </w:rPr>
        <w:t>lsh</w:t>
      </w:r>
      <w:r w:rsidR="007D44FC">
        <w:rPr>
          <w:rFonts w:ascii="Arial" w:hAnsi="Arial" w:cs="Arial"/>
          <w:sz w:val="24"/>
          <w:szCs w:val="24"/>
        </w:rPr>
        <w:t>-</w:t>
      </w:r>
      <w:r w:rsidR="00FE3D17">
        <w:rPr>
          <w:rFonts w:ascii="Arial" w:hAnsi="Arial" w:cs="Arial"/>
          <w:sz w:val="24"/>
          <w:szCs w:val="24"/>
        </w:rPr>
        <w:t>speaking males in 2009-2010:</w:t>
      </w:r>
    </w:p>
    <w:p w:rsidR="00A84ED8" w:rsidRPr="00A84ED8" w:rsidRDefault="00FE3D17" w:rsidP="00FE3D17">
      <w:pPr>
        <w:jc w:val="center"/>
        <w:rPr>
          <w:rFonts w:ascii="Arial" w:hAnsi="Arial" w:cs="Arial"/>
          <w:sz w:val="24"/>
          <w:szCs w:val="24"/>
        </w:rPr>
      </w:pPr>
      <w:r w:rsidRPr="00FE3D17">
        <w:rPr>
          <w:rFonts w:ascii="Arial" w:hAnsi="Arial" w:cs="Arial"/>
          <w:noProof/>
          <w:sz w:val="24"/>
          <w:szCs w:val="24"/>
        </w:rPr>
        <w:drawing>
          <wp:inline distT="0" distB="0" distL="0" distR="0">
            <wp:extent cx="4587456" cy="2863970"/>
            <wp:effectExtent l="19050" t="0" r="3594" b="0"/>
            <wp:docPr id="57"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A84ED8" w:rsidRPr="00A84ED8" w:rsidRDefault="00A84ED8" w:rsidP="00A84ED8">
      <w:pPr>
        <w:rPr>
          <w:rFonts w:ascii="Arial" w:hAnsi="Arial" w:cs="Arial"/>
          <w:sz w:val="24"/>
          <w:szCs w:val="24"/>
        </w:rPr>
      </w:pPr>
    </w:p>
    <w:p w:rsidR="00B504C5" w:rsidRPr="00A84ED8" w:rsidRDefault="00A84ED8" w:rsidP="00A84ED8">
      <w:pPr>
        <w:rPr>
          <w:rFonts w:ascii="Arial" w:hAnsi="Arial" w:cs="Arial"/>
          <w:sz w:val="24"/>
          <w:szCs w:val="24"/>
        </w:rPr>
      </w:pPr>
      <w:r w:rsidRPr="00A84ED8">
        <w:rPr>
          <w:rFonts w:ascii="Arial" w:hAnsi="Arial" w:cs="Arial"/>
          <w:sz w:val="24"/>
          <w:szCs w:val="24"/>
        </w:rPr>
        <w:t>It can be seen that although the retention of non</w:t>
      </w:r>
      <w:r w:rsidR="007D44FC">
        <w:rPr>
          <w:rFonts w:ascii="Arial" w:hAnsi="Arial" w:cs="Arial"/>
          <w:sz w:val="24"/>
          <w:szCs w:val="24"/>
        </w:rPr>
        <w:t>-</w:t>
      </w:r>
      <w:r w:rsidRPr="00A84ED8">
        <w:rPr>
          <w:rFonts w:ascii="Arial" w:hAnsi="Arial" w:cs="Arial"/>
          <w:sz w:val="24"/>
          <w:szCs w:val="24"/>
        </w:rPr>
        <w:t>Welsh</w:t>
      </w:r>
      <w:r w:rsidR="007D44FC">
        <w:rPr>
          <w:rFonts w:ascii="Arial" w:hAnsi="Arial" w:cs="Arial"/>
          <w:sz w:val="24"/>
          <w:szCs w:val="24"/>
        </w:rPr>
        <w:t>-</w:t>
      </w:r>
      <w:r w:rsidRPr="00A84ED8">
        <w:rPr>
          <w:rFonts w:ascii="Arial" w:hAnsi="Arial" w:cs="Arial"/>
          <w:sz w:val="24"/>
          <w:szCs w:val="24"/>
        </w:rPr>
        <w:t>speaking males lags slightly behind that of Welsh</w:t>
      </w:r>
      <w:r w:rsidR="007D44FC">
        <w:rPr>
          <w:rFonts w:ascii="Arial" w:hAnsi="Arial" w:cs="Arial"/>
          <w:sz w:val="24"/>
          <w:szCs w:val="24"/>
        </w:rPr>
        <w:t>-</w:t>
      </w:r>
      <w:r w:rsidRPr="00A84ED8">
        <w:rPr>
          <w:rFonts w:ascii="Arial" w:hAnsi="Arial" w:cs="Arial"/>
          <w:sz w:val="24"/>
          <w:szCs w:val="24"/>
        </w:rPr>
        <w:t>speaking males</w:t>
      </w:r>
      <w:r w:rsidR="007D44FC">
        <w:rPr>
          <w:rFonts w:ascii="Arial" w:hAnsi="Arial" w:cs="Arial"/>
          <w:sz w:val="24"/>
          <w:szCs w:val="24"/>
        </w:rPr>
        <w:t>,</w:t>
      </w:r>
      <w:r w:rsidRPr="00A84ED8">
        <w:rPr>
          <w:rFonts w:ascii="Arial" w:hAnsi="Arial" w:cs="Arial"/>
          <w:sz w:val="24"/>
          <w:szCs w:val="24"/>
        </w:rPr>
        <w:t xml:space="preserve"> the success rates of both groups are very similar with Welsh speakers just ahead in terms of success. Until this year</w:t>
      </w:r>
      <w:r w:rsidR="00C41E9E">
        <w:rPr>
          <w:rFonts w:ascii="Arial" w:hAnsi="Arial" w:cs="Arial"/>
          <w:sz w:val="24"/>
          <w:szCs w:val="24"/>
        </w:rPr>
        <w:t>,</w:t>
      </w:r>
      <w:r w:rsidRPr="00A84ED8">
        <w:rPr>
          <w:rFonts w:ascii="Arial" w:hAnsi="Arial" w:cs="Arial"/>
          <w:sz w:val="24"/>
          <w:szCs w:val="24"/>
        </w:rPr>
        <w:t xml:space="preserve"> Welsh speaking males lagged behind non</w:t>
      </w:r>
      <w:r w:rsidR="00C41E9E">
        <w:rPr>
          <w:rFonts w:ascii="Arial" w:hAnsi="Arial" w:cs="Arial"/>
          <w:sz w:val="24"/>
          <w:szCs w:val="24"/>
        </w:rPr>
        <w:t>-</w:t>
      </w:r>
      <w:r w:rsidRPr="00A84ED8">
        <w:rPr>
          <w:rFonts w:ascii="Arial" w:hAnsi="Arial" w:cs="Arial"/>
          <w:sz w:val="24"/>
          <w:szCs w:val="24"/>
        </w:rPr>
        <w:t>Welsh</w:t>
      </w:r>
      <w:r w:rsidR="00C41E9E">
        <w:rPr>
          <w:rFonts w:ascii="Arial" w:hAnsi="Arial" w:cs="Arial"/>
          <w:sz w:val="24"/>
          <w:szCs w:val="24"/>
        </w:rPr>
        <w:t>-</w:t>
      </w:r>
      <w:r w:rsidRPr="00A84ED8">
        <w:rPr>
          <w:rFonts w:ascii="Arial" w:hAnsi="Arial" w:cs="Arial"/>
          <w:sz w:val="24"/>
          <w:szCs w:val="24"/>
        </w:rPr>
        <w:t xml:space="preserve">speaking males in terms of success. </w:t>
      </w:r>
    </w:p>
    <w:p w:rsidR="00085434" w:rsidRPr="00A84ED8" w:rsidRDefault="00A84ED8" w:rsidP="00A84ED8">
      <w:pPr>
        <w:rPr>
          <w:rFonts w:ascii="Arial" w:hAnsi="Arial" w:cs="Arial"/>
          <w:sz w:val="24"/>
          <w:szCs w:val="24"/>
        </w:rPr>
      </w:pPr>
      <w:r w:rsidRPr="00A84ED8">
        <w:rPr>
          <w:rFonts w:ascii="Arial" w:hAnsi="Arial" w:cs="Arial"/>
          <w:sz w:val="24"/>
          <w:szCs w:val="24"/>
        </w:rPr>
        <w:t>The c</w:t>
      </w:r>
      <w:r w:rsidR="0052241E">
        <w:rPr>
          <w:rFonts w:ascii="Arial" w:hAnsi="Arial" w:cs="Arial"/>
          <w:sz w:val="24"/>
          <w:szCs w:val="24"/>
        </w:rPr>
        <w:t xml:space="preserve">hart below shows the retention, </w:t>
      </w:r>
      <w:r w:rsidRPr="00A84ED8">
        <w:rPr>
          <w:rFonts w:ascii="Arial" w:hAnsi="Arial" w:cs="Arial"/>
          <w:sz w:val="24"/>
          <w:szCs w:val="24"/>
        </w:rPr>
        <w:t>attainment and success of Welsh</w:t>
      </w:r>
      <w:r w:rsidR="00C41E9E">
        <w:rPr>
          <w:rFonts w:ascii="Arial" w:hAnsi="Arial" w:cs="Arial"/>
          <w:sz w:val="24"/>
          <w:szCs w:val="24"/>
        </w:rPr>
        <w:t>-</w:t>
      </w:r>
      <w:r w:rsidR="0052241E">
        <w:rPr>
          <w:rFonts w:ascii="Arial" w:hAnsi="Arial" w:cs="Arial"/>
          <w:sz w:val="24"/>
          <w:szCs w:val="24"/>
        </w:rPr>
        <w:t xml:space="preserve">speaking </w:t>
      </w:r>
      <w:r w:rsidRPr="00A84ED8">
        <w:rPr>
          <w:rFonts w:ascii="Arial" w:hAnsi="Arial" w:cs="Arial"/>
          <w:sz w:val="24"/>
          <w:szCs w:val="24"/>
        </w:rPr>
        <w:t>females compared to non</w:t>
      </w:r>
      <w:r w:rsidR="0052241E">
        <w:rPr>
          <w:rFonts w:ascii="Arial" w:hAnsi="Arial" w:cs="Arial"/>
          <w:sz w:val="24"/>
          <w:szCs w:val="24"/>
        </w:rPr>
        <w:t>-</w:t>
      </w:r>
      <w:r w:rsidRPr="00A84ED8">
        <w:rPr>
          <w:rFonts w:ascii="Arial" w:hAnsi="Arial" w:cs="Arial"/>
          <w:sz w:val="24"/>
          <w:szCs w:val="24"/>
        </w:rPr>
        <w:t>Wels</w:t>
      </w:r>
      <w:r w:rsidR="00FE3D17">
        <w:rPr>
          <w:rFonts w:ascii="Arial" w:hAnsi="Arial" w:cs="Arial"/>
          <w:sz w:val="24"/>
          <w:szCs w:val="24"/>
        </w:rPr>
        <w:t>h</w:t>
      </w:r>
      <w:r w:rsidR="00C41E9E">
        <w:rPr>
          <w:rFonts w:ascii="Arial" w:hAnsi="Arial" w:cs="Arial"/>
          <w:sz w:val="24"/>
          <w:szCs w:val="24"/>
        </w:rPr>
        <w:t>-</w:t>
      </w:r>
      <w:r w:rsidR="00FE3D17">
        <w:rPr>
          <w:rFonts w:ascii="Arial" w:hAnsi="Arial" w:cs="Arial"/>
          <w:sz w:val="24"/>
          <w:szCs w:val="24"/>
        </w:rPr>
        <w:t>speaking females in 2009-2010:</w:t>
      </w:r>
    </w:p>
    <w:p w:rsidR="00A84ED8" w:rsidRPr="00A84ED8" w:rsidRDefault="00085434" w:rsidP="00085434">
      <w:pPr>
        <w:jc w:val="center"/>
        <w:rPr>
          <w:rFonts w:ascii="Arial" w:hAnsi="Arial" w:cs="Arial"/>
          <w:sz w:val="24"/>
          <w:szCs w:val="24"/>
        </w:rPr>
      </w:pPr>
      <w:r w:rsidRPr="00085434">
        <w:rPr>
          <w:rFonts w:ascii="Arial" w:hAnsi="Arial" w:cs="Arial"/>
          <w:noProof/>
          <w:sz w:val="24"/>
          <w:szCs w:val="24"/>
        </w:rPr>
        <w:drawing>
          <wp:inline distT="0" distB="0" distL="0" distR="0">
            <wp:extent cx="4535697" cy="2570672"/>
            <wp:effectExtent l="19050" t="0" r="0" b="0"/>
            <wp:docPr id="61"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A84ED8" w:rsidRPr="00A84ED8" w:rsidRDefault="00A84ED8" w:rsidP="00A84ED8">
      <w:pPr>
        <w:rPr>
          <w:rFonts w:ascii="Arial" w:hAnsi="Arial" w:cs="Arial"/>
          <w:sz w:val="24"/>
          <w:szCs w:val="24"/>
        </w:rPr>
      </w:pPr>
    </w:p>
    <w:p w:rsidR="00A84ED8" w:rsidRDefault="00A84ED8" w:rsidP="00A84ED8">
      <w:pPr>
        <w:rPr>
          <w:rFonts w:ascii="Arial" w:hAnsi="Arial" w:cs="Arial"/>
          <w:sz w:val="24"/>
          <w:szCs w:val="24"/>
        </w:rPr>
      </w:pPr>
      <w:r w:rsidRPr="00A84ED8">
        <w:rPr>
          <w:rFonts w:ascii="Arial" w:hAnsi="Arial" w:cs="Arial"/>
          <w:sz w:val="24"/>
          <w:szCs w:val="24"/>
        </w:rPr>
        <w:t>It can be seen for 2009-2010 the retention, attainment and success of Welsh</w:t>
      </w:r>
      <w:r w:rsidR="0052241E">
        <w:rPr>
          <w:rFonts w:ascii="Arial" w:hAnsi="Arial" w:cs="Arial"/>
          <w:sz w:val="24"/>
          <w:szCs w:val="24"/>
        </w:rPr>
        <w:t>-</w:t>
      </w:r>
      <w:r w:rsidRPr="00A84ED8">
        <w:rPr>
          <w:rFonts w:ascii="Arial" w:hAnsi="Arial" w:cs="Arial"/>
          <w:sz w:val="24"/>
          <w:szCs w:val="24"/>
        </w:rPr>
        <w:t>speaking females exceeds that of their non</w:t>
      </w:r>
      <w:r w:rsidR="00C41E9E">
        <w:rPr>
          <w:rFonts w:ascii="Arial" w:hAnsi="Arial" w:cs="Arial"/>
          <w:sz w:val="24"/>
          <w:szCs w:val="24"/>
        </w:rPr>
        <w:t>-</w:t>
      </w:r>
      <w:r w:rsidRPr="00A84ED8">
        <w:rPr>
          <w:rFonts w:ascii="Arial" w:hAnsi="Arial" w:cs="Arial"/>
          <w:sz w:val="24"/>
          <w:szCs w:val="24"/>
        </w:rPr>
        <w:t>Welsh</w:t>
      </w:r>
      <w:r w:rsidR="00C41E9E">
        <w:rPr>
          <w:rFonts w:ascii="Arial" w:hAnsi="Arial" w:cs="Arial"/>
          <w:sz w:val="24"/>
          <w:szCs w:val="24"/>
        </w:rPr>
        <w:t>-</w:t>
      </w:r>
      <w:r w:rsidRPr="00A84ED8">
        <w:rPr>
          <w:rFonts w:ascii="Arial" w:hAnsi="Arial" w:cs="Arial"/>
          <w:sz w:val="24"/>
          <w:szCs w:val="24"/>
        </w:rPr>
        <w:t xml:space="preserve">speaking counterparts. </w:t>
      </w:r>
    </w:p>
    <w:p w:rsidR="00085434" w:rsidRDefault="00085434" w:rsidP="00A84ED8">
      <w:pPr>
        <w:rPr>
          <w:rFonts w:ascii="Arial" w:hAnsi="Arial" w:cs="Arial"/>
          <w:sz w:val="24"/>
          <w:szCs w:val="24"/>
        </w:rPr>
      </w:pPr>
    </w:p>
    <w:p w:rsidR="00B504C5" w:rsidRDefault="00B504C5" w:rsidP="00A84ED8">
      <w:pPr>
        <w:rPr>
          <w:rFonts w:ascii="Arial" w:hAnsi="Arial" w:cs="Arial"/>
          <w:sz w:val="24"/>
          <w:szCs w:val="24"/>
        </w:rPr>
      </w:pPr>
    </w:p>
    <w:p w:rsidR="00B504C5" w:rsidRDefault="00B504C5" w:rsidP="00A84ED8">
      <w:pPr>
        <w:rPr>
          <w:rFonts w:ascii="Arial" w:hAnsi="Arial" w:cs="Arial"/>
          <w:sz w:val="24"/>
          <w:szCs w:val="24"/>
        </w:rPr>
      </w:pPr>
    </w:p>
    <w:p w:rsidR="00B504C5" w:rsidRDefault="00B504C5" w:rsidP="00A84ED8">
      <w:pPr>
        <w:rPr>
          <w:rFonts w:ascii="Arial" w:hAnsi="Arial" w:cs="Arial"/>
          <w:sz w:val="24"/>
          <w:szCs w:val="24"/>
        </w:rPr>
      </w:pPr>
    </w:p>
    <w:p w:rsidR="00B504C5" w:rsidRDefault="00B504C5" w:rsidP="00A84ED8">
      <w:pPr>
        <w:rPr>
          <w:rFonts w:ascii="Arial" w:hAnsi="Arial" w:cs="Arial"/>
          <w:sz w:val="24"/>
          <w:szCs w:val="24"/>
        </w:rPr>
      </w:pPr>
    </w:p>
    <w:p w:rsidR="00B504C5" w:rsidRDefault="00B504C5" w:rsidP="00A84ED8">
      <w:pPr>
        <w:rPr>
          <w:rFonts w:ascii="Arial" w:hAnsi="Arial" w:cs="Arial"/>
          <w:sz w:val="24"/>
          <w:szCs w:val="24"/>
        </w:rPr>
      </w:pPr>
    </w:p>
    <w:p w:rsidR="00B504C5" w:rsidRDefault="00B504C5" w:rsidP="00A84ED8">
      <w:pPr>
        <w:rPr>
          <w:rFonts w:ascii="Arial" w:hAnsi="Arial" w:cs="Arial"/>
          <w:sz w:val="24"/>
          <w:szCs w:val="24"/>
        </w:rPr>
      </w:pPr>
    </w:p>
    <w:p w:rsidR="00B504C5" w:rsidRDefault="00B504C5" w:rsidP="00A84ED8">
      <w:pPr>
        <w:rPr>
          <w:rFonts w:ascii="Arial" w:hAnsi="Arial" w:cs="Arial"/>
          <w:sz w:val="24"/>
          <w:szCs w:val="24"/>
        </w:rPr>
      </w:pPr>
    </w:p>
    <w:p w:rsidR="00B504C5" w:rsidRDefault="00B504C5" w:rsidP="00A84ED8">
      <w:pPr>
        <w:rPr>
          <w:rFonts w:ascii="Arial" w:hAnsi="Arial" w:cs="Arial"/>
          <w:sz w:val="24"/>
          <w:szCs w:val="24"/>
        </w:rPr>
      </w:pPr>
    </w:p>
    <w:p w:rsidR="00B504C5" w:rsidRDefault="00B504C5" w:rsidP="00A84ED8">
      <w:pPr>
        <w:rPr>
          <w:rFonts w:ascii="Arial" w:hAnsi="Arial" w:cs="Arial"/>
          <w:sz w:val="24"/>
          <w:szCs w:val="24"/>
        </w:rPr>
      </w:pPr>
    </w:p>
    <w:p w:rsidR="00B504C5" w:rsidRDefault="00B504C5" w:rsidP="00A84ED8">
      <w:pPr>
        <w:rPr>
          <w:rFonts w:ascii="Arial" w:hAnsi="Arial" w:cs="Arial"/>
          <w:sz w:val="24"/>
          <w:szCs w:val="24"/>
        </w:rPr>
      </w:pPr>
    </w:p>
    <w:p w:rsidR="00B504C5" w:rsidRDefault="00B504C5" w:rsidP="00A84ED8">
      <w:pPr>
        <w:rPr>
          <w:rFonts w:ascii="Arial" w:hAnsi="Arial" w:cs="Arial"/>
          <w:sz w:val="24"/>
          <w:szCs w:val="24"/>
        </w:rPr>
      </w:pPr>
    </w:p>
    <w:p w:rsidR="00B504C5" w:rsidRDefault="00B504C5" w:rsidP="00A84ED8">
      <w:pPr>
        <w:rPr>
          <w:rFonts w:ascii="Arial" w:hAnsi="Arial" w:cs="Arial"/>
          <w:sz w:val="24"/>
          <w:szCs w:val="24"/>
        </w:rPr>
      </w:pPr>
    </w:p>
    <w:p w:rsidR="00B504C5" w:rsidRDefault="00B504C5" w:rsidP="00A84ED8">
      <w:pPr>
        <w:rPr>
          <w:rFonts w:ascii="Arial" w:hAnsi="Arial" w:cs="Arial"/>
          <w:sz w:val="24"/>
          <w:szCs w:val="24"/>
        </w:rPr>
      </w:pPr>
    </w:p>
    <w:p w:rsidR="00B504C5" w:rsidRDefault="00B504C5" w:rsidP="00A84ED8">
      <w:pPr>
        <w:rPr>
          <w:rFonts w:ascii="Arial" w:hAnsi="Arial" w:cs="Arial"/>
          <w:sz w:val="24"/>
          <w:szCs w:val="24"/>
        </w:rPr>
      </w:pPr>
    </w:p>
    <w:p w:rsidR="00B504C5" w:rsidRDefault="00B504C5" w:rsidP="00A84ED8">
      <w:pPr>
        <w:rPr>
          <w:rFonts w:ascii="Arial" w:hAnsi="Arial" w:cs="Arial"/>
          <w:sz w:val="24"/>
          <w:szCs w:val="24"/>
        </w:rPr>
      </w:pPr>
    </w:p>
    <w:p w:rsidR="00752E75" w:rsidRDefault="00752E75" w:rsidP="00A84ED8">
      <w:pPr>
        <w:rPr>
          <w:rFonts w:ascii="Arial" w:hAnsi="Arial" w:cs="Arial"/>
          <w:sz w:val="24"/>
          <w:szCs w:val="24"/>
        </w:rPr>
      </w:pPr>
    </w:p>
    <w:p w:rsidR="00752E75" w:rsidRDefault="00752E75" w:rsidP="00A84ED8">
      <w:pPr>
        <w:rPr>
          <w:rFonts w:ascii="Arial" w:hAnsi="Arial" w:cs="Arial"/>
          <w:sz w:val="24"/>
          <w:szCs w:val="24"/>
        </w:rPr>
      </w:pPr>
    </w:p>
    <w:p w:rsidR="00752E75" w:rsidRDefault="00752E75" w:rsidP="00A84ED8">
      <w:pPr>
        <w:rPr>
          <w:rFonts w:ascii="Arial" w:hAnsi="Arial" w:cs="Arial"/>
          <w:sz w:val="24"/>
          <w:szCs w:val="24"/>
        </w:rPr>
      </w:pPr>
    </w:p>
    <w:p w:rsidR="00752E75" w:rsidRDefault="00752E75" w:rsidP="00A84ED8">
      <w:pPr>
        <w:rPr>
          <w:rFonts w:ascii="Arial" w:hAnsi="Arial" w:cs="Arial"/>
          <w:sz w:val="24"/>
          <w:szCs w:val="24"/>
        </w:rPr>
      </w:pPr>
    </w:p>
    <w:p w:rsidR="00752E75" w:rsidRDefault="00752E75" w:rsidP="00A84ED8">
      <w:pPr>
        <w:rPr>
          <w:rFonts w:ascii="Arial" w:hAnsi="Arial" w:cs="Arial"/>
          <w:sz w:val="24"/>
          <w:szCs w:val="24"/>
        </w:rPr>
      </w:pPr>
    </w:p>
    <w:p w:rsidR="00752E75" w:rsidRDefault="00752E75" w:rsidP="00A84ED8">
      <w:pPr>
        <w:rPr>
          <w:rFonts w:ascii="Arial" w:hAnsi="Arial" w:cs="Arial"/>
          <w:sz w:val="24"/>
          <w:szCs w:val="24"/>
        </w:rPr>
      </w:pPr>
    </w:p>
    <w:p w:rsidR="00752E75" w:rsidRDefault="00752E75" w:rsidP="00A84ED8">
      <w:pPr>
        <w:rPr>
          <w:rFonts w:ascii="Arial" w:hAnsi="Arial" w:cs="Arial"/>
          <w:sz w:val="24"/>
          <w:szCs w:val="24"/>
        </w:rPr>
      </w:pPr>
    </w:p>
    <w:p w:rsidR="00752E75" w:rsidRDefault="00752E75" w:rsidP="00A84ED8">
      <w:pPr>
        <w:rPr>
          <w:rFonts w:ascii="Arial" w:hAnsi="Arial" w:cs="Arial"/>
          <w:sz w:val="24"/>
          <w:szCs w:val="24"/>
        </w:rPr>
      </w:pPr>
    </w:p>
    <w:p w:rsidR="00085434" w:rsidRPr="00085434" w:rsidRDefault="004749C7" w:rsidP="00085434">
      <w:pPr>
        <w:rPr>
          <w:rFonts w:ascii="Arial" w:hAnsi="Arial" w:cs="Arial"/>
          <w:b/>
          <w:sz w:val="24"/>
          <w:szCs w:val="24"/>
        </w:rPr>
      </w:pPr>
      <w:r>
        <w:rPr>
          <w:rFonts w:ascii="Arial" w:hAnsi="Arial" w:cs="Arial"/>
          <w:b/>
          <w:sz w:val="24"/>
          <w:szCs w:val="24"/>
        </w:rPr>
        <w:t>Analysis of D</w:t>
      </w:r>
      <w:r w:rsidR="00085434" w:rsidRPr="00085434">
        <w:rPr>
          <w:rFonts w:ascii="Arial" w:hAnsi="Arial" w:cs="Arial"/>
          <w:b/>
          <w:sz w:val="24"/>
          <w:szCs w:val="24"/>
        </w:rPr>
        <w:t>ata by Communities First Areas</w:t>
      </w:r>
    </w:p>
    <w:p w:rsidR="00085434" w:rsidRPr="00085434" w:rsidRDefault="00085434" w:rsidP="00085434">
      <w:pPr>
        <w:rPr>
          <w:rFonts w:ascii="Arial" w:hAnsi="Arial" w:cs="Arial"/>
          <w:sz w:val="24"/>
          <w:szCs w:val="24"/>
        </w:rPr>
      </w:pPr>
      <w:r w:rsidRPr="00085434">
        <w:rPr>
          <w:rFonts w:ascii="Arial" w:hAnsi="Arial" w:cs="Arial"/>
          <w:sz w:val="24"/>
          <w:szCs w:val="24"/>
        </w:rPr>
        <w:t>In order to provide the data for this exercise</w:t>
      </w:r>
      <w:r w:rsidR="00C41E9E">
        <w:rPr>
          <w:rFonts w:ascii="Arial" w:hAnsi="Arial" w:cs="Arial"/>
          <w:sz w:val="24"/>
          <w:szCs w:val="24"/>
        </w:rPr>
        <w:t>,</w:t>
      </w:r>
      <w:r w:rsidRPr="00085434">
        <w:rPr>
          <w:rFonts w:ascii="Arial" w:hAnsi="Arial" w:cs="Arial"/>
          <w:sz w:val="24"/>
          <w:szCs w:val="24"/>
        </w:rPr>
        <w:t xml:space="preserve"> it was necessary to overlay the postcodes of Communities First areas with those of learners. In some cases</w:t>
      </w:r>
      <w:r w:rsidR="0005501A">
        <w:rPr>
          <w:rFonts w:ascii="Arial" w:hAnsi="Arial" w:cs="Arial"/>
          <w:sz w:val="24"/>
          <w:szCs w:val="24"/>
        </w:rPr>
        <w:t>,</w:t>
      </w:r>
      <w:r w:rsidRPr="00085434">
        <w:rPr>
          <w:rFonts w:ascii="Arial" w:hAnsi="Arial" w:cs="Arial"/>
          <w:sz w:val="24"/>
          <w:szCs w:val="24"/>
        </w:rPr>
        <w:t xml:space="preserve"> part of the learner’s postcode falls within the Community First area and part outside. Although weighting values are produced to provide the percentage of the postcode that falls into </w:t>
      </w:r>
      <w:r w:rsidR="00C41E9E">
        <w:rPr>
          <w:rFonts w:ascii="Arial" w:hAnsi="Arial" w:cs="Arial"/>
          <w:sz w:val="24"/>
          <w:szCs w:val="24"/>
        </w:rPr>
        <w:t xml:space="preserve">the </w:t>
      </w:r>
      <w:r w:rsidRPr="00085434">
        <w:rPr>
          <w:rFonts w:ascii="Arial" w:hAnsi="Arial" w:cs="Arial"/>
          <w:sz w:val="24"/>
          <w:szCs w:val="24"/>
        </w:rPr>
        <w:t>Community First area</w:t>
      </w:r>
      <w:r w:rsidR="00C41E9E">
        <w:rPr>
          <w:rFonts w:ascii="Arial" w:hAnsi="Arial" w:cs="Arial"/>
          <w:sz w:val="24"/>
          <w:szCs w:val="24"/>
        </w:rPr>
        <w:t>,</w:t>
      </w:r>
      <w:r w:rsidRPr="00085434">
        <w:rPr>
          <w:rFonts w:ascii="Arial" w:hAnsi="Arial" w:cs="Arial"/>
          <w:sz w:val="24"/>
          <w:szCs w:val="24"/>
        </w:rPr>
        <w:t xml:space="preserve"> it is still difficult to know accurately if the learner resides within the Communities First area or not. For data purposes</w:t>
      </w:r>
      <w:r w:rsidR="00C41E9E">
        <w:rPr>
          <w:rFonts w:ascii="Arial" w:hAnsi="Arial" w:cs="Arial"/>
          <w:sz w:val="24"/>
          <w:szCs w:val="24"/>
        </w:rPr>
        <w:t>,</w:t>
      </w:r>
      <w:r w:rsidRPr="00085434">
        <w:rPr>
          <w:rFonts w:ascii="Arial" w:hAnsi="Arial" w:cs="Arial"/>
          <w:sz w:val="24"/>
          <w:szCs w:val="24"/>
        </w:rPr>
        <w:t xml:space="preserve"> it has therefore been assumed that if a particular learner has a postcode which coincides with that of a Communities First postcode then the learner is considered to be residing in a Communities First area. </w:t>
      </w:r>
    </w:p>
    <w:p w:rsidR="00085434" w:rsidRPr="00085434" w:rsidRDefault="00085434" w:rsidP="00085434">
      <w:pPr>
        <w:rPr>
          <w:rFonts w:ascii="Arial" w:hAnsi="Arial" w:cs="Arial"/>
          <w:b/>
          <w:sz w:val="24"/>
          <w:szCs w:val="24"/>
        </w:rPr>
      </w:pPr>
      <w:r w:rsidRPr="00085434">
        <w:rPr>
          <w:rFonts w:ascii="Arial" w:hAnsi="Arial" w:cs="Arial"/>
          <w:b/>
          <w:sz w:val="24"/>
          <w:szCs w:val="24"/>
        </w:rPr>
        <w:t>2007- 2008</w:t>
      </w:r>
    </w:p>
    <w:p w:rsidR="00085434" w:rsidRPr="00085434" w:rsidRDefault="00085434" w:rsidP="00085434">
      <w:pPr>
        <w:rPr>
          <w:rFonts w:ascii="Arial" w:hAnsi="Arial" w:cs="Arial"/>
          <w:sz w:val="24"/>
          <w:szCs w:val="24"/>
        </w:rPr>
      </w:pPr>
      <w:r w:rsidRPr="00085434">
        <w:rPr>
          <w:rFonts w:ascii="Arial" w:hAnsi="Arial" w:cs="Arial"/>
          <w:sz w:val="24"/>
          <w:szCs w:val="24"/>
        </w:rPr>
        <w:t>Number of enrolments from Communities First areas = 6</w:t>
      </w:r>
      <w:r w:rsidR="00C41E9E">
        <w:rPr>
          <w:rFonts w:ascii="Arial" w:hAnsi="Arial" w:cs="Arial"/>
          <w:sz w:val="24"/>
          <w:szCs w:val="24"/>
        </w:rPr>
        <w:t>,</w:t>
      </w:r>
      <w:r w:rsidRPr="00085434">
        <w:rPr>
          <w:rFonts w:ascii="Arial" w:hAnsi="Arial" w:cs="Arial"/>
          <w:sz w:val="24"/>
          <w:szCs w:val="24"/>
        </w:rPr>
        <w:t xml:space="preserve">739 </w:t>
      </w:r>
    </w:p>
    <w:p w:rsidR="00085434" w:rsidRPr="00085434" w:rsidRDefault="00085434" w:rsidP="00085434">
      <w:pPr>
        <w:rPr>
          <w:rFonts w:ascii="Arial" w:hAnsi="Arial" w:cs="Arial"/>
          <w:sz w:val="24"/>
          <w:szCs w:val="24"/>
        </w:rPr>
      </w:pPr>
      <w:r w:rsidRPr="00085434">
        <w:rPr>
          <w:rFonts w:ascii="Arial" w:hAnsi="Arial" w:cs="Arial"/>
          <w:sz w:val="24"/>
          <w:szCs w:val="24"/>
        </w:rPr>
        <w:t>Number of enrolments from non</w:t>
      </w:r>
      <w:r w:rsidR="00C41E9E">
        <w:rPr>
          <w:rFonts w:ascii="Arial" w:hAnsi="Arial" w:cs="Arial"/>
          <w:sz w:val="24"/>
          <w:szCs w:val="24"/>
        </w:rPr>
        <w:t>-</w:t>
      </w:r>
      <w:r w:rsidRPr="00085434">
        <w:rPr>
          <w:rFonts w:ascii="Arial" w:hAnsi="Arial" w:cs="Arial"/>
          <w:sz w:val="24"/>
          <w:szCs w:val="24"/>
        </w:rPr>
        <w:t>Communities First areas = 15</w:t>
      </w:r>
      <w:r w:rsidR="00C41E9E">
        <w:rPr>
          <w:rFonts w:ascii="Arial" w:hAnsi="Arial" w:cs="Arial"/>
          <w:sz w:val="24"/>
          <w:szCs w:val="24"/>
        </w:rPr>
        <w:t>,</w:t>
      </w:r>
      <w:r w:rsidRPr="00085434">
        <w:rPr>
          <w:rFonts w:ascii="Arial" w:hAnsi="Arial" w:cs="Arial"/>
          <w:sz w:val="24"/>
          <w:szCs w:val="24"/>
        </w:rPr>
        <w:t xml:space="preserve">450 </w:t>
      </w:r>
    </w:p>
    <w:p w:rsidR="00085434" w:rsidRPr="00085434" w:rsidRDefault="00085434" w:rsidP="00085434">
      <w:pPr>
        <w:rPr>
          <w:rFonts w:ascii="Arial" w:hAnsi="Arial" w:cs="Arial"/>
          <w:sz w:val="24"/>
          <w:szCs w:val="24"/>
        </w:rPr>
      </w:pPr>
      <w:r w:rsidRPr="00085434">
        <w:rPr>
          <w:rFonts w:ascii="Arial" w:hAnsi="Arial" w:cs="Arial"/>
          <w:sz w:val="24"/>
          <w:szCs w:val="24"/>
        </w:rPr>
        <w:t>Tot</w:t>
      </w:r>
      <w:r>
        <w:rPr>
          <w:rFonts w:ascii="Arial" w:hAnsi="Arial" w:cs="Arial"/>
          <w:sz w:val="24"/>
          <w:szCs w:val="24"/>
        </w:rPr>
        <w:t xml:space="preserve">al </w:t>
      </w:r>
      <w:r w:rsidR="00C41E9E">
        <w:rPr>
          <w:rFonts w:ascii="Arial" w:hAnsi="Arial" w:cs="Arial"/>
          <w:sz w:val="24"/>
          <w:szCs w:val="24"/>
        </w:rPr>
        <w:t>n</w:t>
      </w:r>
      <w:r>
        <w:rPr>
          <w:rFonts w:ascii="Arial" w:hAnsi="Arial" w:cs="Arial"/>
          <w:sz w:val="24"/>
          <w:szCs w:val="24"/>
        </w:rPr>
        <w:t>umber of enrolments = 22</w:t>
      </w:r>
      <w:r w:rsidR="00C41E9E">
        <w:rPr>
          <w:rFonts w:ascii="Arial" w:hAnsi="Arial" w:cs="Arial"/>
          <w:sz w:val="24"/>
          <w:szCs w:val="24"/>
        </w:rPr>
        <w:t>,</w:t>
      </w:r>
      <w:r>
        <w:rPr>
          <w:rFonts w:ascii="Arial" w:hAnsi="Arial" w:cs="Arial"/>
          <w:sz w:val="24"/>
          <w:szCs w:val="24"/>
        </w:rPr>
        <w:t>189</w:t>
      </w:r>
    </w:p>
    <w:p w:rsidR="00085434" w:rsidRDefault="00085434" w:rsidP="00085434">
      <w:pPr>
        <w:rPr>
          <w:rFonts w:ascii="Arial" w:hAnsi="Arial" w:cs="Arial"/>
          <w:sz w:val="24"/>
          <w:szCs w:val="24"/>
        </w:rPr>
      </w:pPr>
      <w:r w:rsidRPr="00085434">
        <w:rPr>
          <w:rFonts w:ascii="Arial" w:hAnsi="Arial" w:cs="Arial"/>
          <w:sz w:val="24"/>
          <w:szCs w:val="24"/>
        </w:rPr>
        <w:t>Enrolments of learners resident in Communities First areas represe</w:t>
      </w:r>
      <w:r>
        <w:rPr>
          <w:rFonts w:ascii="Arial" w:hAnsi="Arial" w:cs="Arial"/>
          <w:sz w:val="24"/>
          <w:szCs w:val="24"/>
        </w:rPr>
        <w:t xml:space="preserve">nt 30.4% of the </w:t>
      </w:r>
      <w:r w:rsidR="00C41E9E">
        <w:rPr>
          <w:rFonts w:ascii="Arial" w:hAnsi="Arial" w:cs="Arial"/>
          <w:sz w:val="24"/>
          <w:szCs w:val="24"/>
        </w:rPr>
        <w:t>C</w:t>
      </w:r>
      <w:r>
        <w:rPr>
          <w:rFonts w:ascii="Arial" w:hAnsi="Arial" w:cs="Arial"/>
          <w:sz w:val="24"/>
          <w:szCs w:val="24"/>
        </w:rPr>
        <w:t xml:space="preserve">ollege total. </w:t>
      </w:r>
    </w:p>
    <w:p w:rsidR="00E0463F" w:rsidRDefault="00E0463F" w:rsidP="00085434">
      <w:pPr>
        <w:rPr>
          <w:rFonts w:ascii="Arial" w:hAnsi="Arial" w:cs="Arial"/>
          <w:sz w:val="24"/>
          <w:szCs w:val="24"/>
        </w:rPr>
      </w:pPr>
    </w:p>
    <w:p w:rsidR="00E7498C" w:rsidRPr="00085434" w:rsidRDefault="00E7498C" w:rsidP="00E7498C">
      <w:pPr>
        <w:jc w:val="center"/>
        <w:rPr>
          <w:rFonts w:ascii="Arial" w:hAnsi="Arial" w:cs="Arial"/>
          <w:sz w:val="24"/>
          <w:szCs w:val="24"/>
        </w:rPr>
      </w:pPr>
      <w:r w:rsidRPr="00E7498C">
        <w:rPr>
          <w:rFonts w:ascii="Arial" w:hAnsi="Arial" w:cs="Arial"/>
          <w:noProof/>
          <w:sz w:val="24"/>
          <w:szCs w:val="24"/>
        </w:rPr>
        <w:drawing>
          <wp:inline distT="0" distB="0" distL="0" distR="0">
            <wp:extent cx="4572000" cy="2743200"/>
            <wp:effectExtent l="0" t="0" r="0" b="0"/>
            <wp:docPr id="78"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085434" w:rsidRPr="00085434" w:rsidRDefault="00085434" w:rsidP="00085434">
      <w:pPr>
        <w:rPr>
          <w:rFonts w:ascii="Arial" w:hAnsi="Arial" w:cs="Arial"/>
          <w:sz w:val="24"/>
          <w:szCs w:val="24"/>
        </w:rPr>
      </w:pPr>
    </w:p>
    <w:p w:rsidR="00E0463F" w:rsidRDefault="00E0463F" w:rsidP="00085434">
      <w:pPr>
        <w:rPr>
          <w:rFonts w:ascii="Arial" w:hAnsi="Arial" w:cs="Arial"/>
          <w:sz w:val="24"/>
          <w:szCs w:val="24"/>
        </w:rPr>
      </w:pPr>
    </w:p>
    <w:p w:rsidR="00E0463F" w:rsidRDefault="00E0463F" w:rsidP="00085434">
      <w:pPr>
        <w:rPr>
          <w:rFonts w:ascii="Arial" w:hAnsi="Arial" w:cs="Arial"/>
          <w:sz w:val="24"/>
          <w:szCs w:val="24"/>
        </w:rPr>
      </w:pPr>
    </w:p>
    <w:p w:rsidR="00E0463F" w:rsidRDefault="00E0463F" w:rsidP="00085434">
      <w:pPr>
        <w:rPr>
          <w:rFonts w:ascii="Arial" w:hAnsi="Arial" w:cs="Arial"/>
          <w:sz w:val="24"/>
          <w:szCs w:val="24"/>
        </w:rPr>
      </w:pPr>
    </w:p>
    <w:p w:rsidR="00085434" w:rsidRDefault="00E7498C" w:rsidP="00085434">
      <w:pPr>
        <w:rPr>
          <w:rFonts w:ascii="Arial" w:hAnsi="Arial" w:cs="Arial"/>
          <w:sz w:val="24"/>
          <w:szCs w:val="24"/>
        </w:rPr>
      </w:pPr>
      <w:r>
        <w:rPr>
          <w:rFonts w:ascii="Arial" w:hAnsi="Arial" w:cs="Arial"/>
          <w:sz w:val="24"/>
          <w:szCs w:val="24"/>
        </w:rPr>
        <w:t>The following chart illustrates the retention, attainment and success of learners from Communities First areas compared from non</w:t>
      </w:r>
      <w:r w:rsidR="00C41E9E">
        <w:rPr>
          <w:rFonts w:ascii="Arial" w:hAnsi="Arial" w:cs="Arial"/>
          <w:sz w:val="24"/>
          <w:szCs w:val="24"/>
        </w:rPr>
        <w:t>-</w:t>
      </w:r>
      <w:r>
        <w:rPr>
          <w:rFonts w:ascii="Arial" w:hAnsi="Arial" w:cs="Arial"/>
          <w:sz w:val="24"/>
          <w:szCs w:val="24"/>
        </w:rPr>
        <w:t>Communities First Areas:</w:t>
      </w:r>
    </w:p>
    <w:p w:rsidR="00085434" w:rsidRPr="00085434" w:rsidRDefault="00085434" w:rsidP="00085434">
      <w:pPr>
        <w:rPr>
          <w:rFonts w:ascii="Arial" w:hAnsi="Arial" w:cs="Arial"/>
          <w:sz w:val="24"/>
          <w:szCs w:val="24"/>
        </w:rPr>
      </w:pPr>
    </w:p>
    <w:p w:rsidR="00085434" w:rsidRPr="00085434" w:rsidRDefault="00E7498C" w:rsidP="00E7498C">
      <w:pPr>
        <w:jc w:val="center"/>
        <w:rPr>
          <w:rFonts w:ascii="Arial" w:hAnsi="Arial" w:cs="Arial"/>
          <w:sz w:val="24"/>
          <w:szCs w:val="24"/>
        </w:rPr>
      </w:pPr>
      <w:r w:rsidRPr="00E7498C">
        <w:rPr>
          <w:rFonts w:ascii="Arial" w:hAnsi="Arial" w:cs="Arial"/>
          <w:noProof/>
          <w:sz w:val="24"/>
          <w:szCs w:val="24"/>
        </w:rPr>
        <w:drawing>
          <wp:inline distT="0" distB="0" distL="0" distR="0">
            <wp:extent cx="4791075" cy="2914650"/>
            <wp:effectExtent l="19050" t="0" r="0" b="0"/>
            <wp:docPr id="79"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085434" w:rsidRPr="00085434" w:rsidRDefault="00085434" w:rsidP="00085434">
      <w:pPr>
        <w:rPr>
          <w:rFonts w:ascii="Arial" w:hAnsi="Arial" w:cs="Arial"/>
          <w:sz w:val="24"/>
          <w:szCs w:val="24"/>
        </w:rPr>
      </w:pPr>
    </w:p>
    <w:p w:rsidR="00085434" w:rsidRPr="00085434" w:rsidRDefault="00085434" w:rsidP="00085434">
      <w:pPr>
        <w:rPr>
          <w:rFonts w:ascii="Arial" w:hAnsi="Arial" w:cs="Arial"/>
          <w:sz w:val="24"/>
          <w:szCs w:val="24"/>
        </w:rPr>
      </w:pPr>
      <w:r w:rsidRPr="00085434">
        <w:rPr>
          <w:rFonts w:ascii="Arial" w:hAnsi="Arial" w:cs="Arial"/>
          <w:sz w:val="24"/>
          <w:szCs w:val="24"/>
        </w:rPr>
        <w:t>In 2007-2008, retention for Communities First learners was 97.2% compared to 97.8% for non</w:t>
      </w:r>
      <w:r w:rsidR="00C41E9E">
        <w:rPr>
          <w:rFonts w:ascii="Arial" w:hAnsi="Arial" w:cs="Arial"/>
          <w:sz w:val="24"/>
          <w:szCs w:val="24"/>
        </w:rPr>
        <w:t>-</w:t>
      </w:r>
      <w:r w:rsidRPr="00085434">
        <w:rPr>
          <w:rFonts w:ascii="Arial" w:hAnsi="Arial" w:cs="Arial"/>
          <w:sz w:val="24"/>
          <w:szCs w:val="24"/>
        </w:rPr>
        <w:t>Communities First learners. Attainment amongst Communities First learners was 63.8% compared to 64.6% for non</w:t>
      </w:r>
      <w:r w:rsidR="00C41E9E">
        <w:rPr>
          <w:rFonts w:ascii="Arial" w:hAnsi="Arial" w:cs="Arial"/>
          <w:sz w:val="24"/>
          <w:szCs w:val="24"/>
        </w:rPr>
        <w:t>-</w:t>
      </w:r>
      <w:r w:rsidRPr="00085434">
        <w:rPr>
          <w:rFonts w:ascii="Arial" w:hAnsi="Arial" w:cs="Arial"/>
          <w:sz w:val="24"/>
          <w:szCs w:val="24"/>
        </w:rPr>
        <w:t>Communities First learners. “Success” for Communities First learners was 62.0% compared to 63.2% for non</w:t>
      </w:r>
      <w:r w:rsidR="00C41E9E">
        <w:rPr>
          <w:rFonts w:ascii="Arial" w:hAnsi="Arial" w:cs="Arial"/>
          <w:sz w:val="24"/>
          <w:szCs w:val="24"/>
        </w:rPr>
        <w:t>-</w:t>
      </w:r>
      <w:r w:rsidRPr="00085434">
        <w:rPr>
          <w:rFonts w:ascii="Arial" w:hAnsi="Arial" w:cs="Arial"/>
          <w:sz w:val="24"/>
          <w:szCs w:val="24"/>
        </w:rPr>
        <w:t xml:space="preserve"> Communities First learners. </w:t>
      </w:r>
    </w:p>
    <w:p w:rsidR="00085434" w:rsidRDefault="00085434" w:rsidP="00085434">
      <w:pPr>
        <w:rPr>
          <w:rFonts w:ascii="Arial" w:hAnsi="Arial" w:cs="Arial"/>
          <w:sz w:val="24"/>
          <w:szCs w:val="24"/>
        </w:rPr>
      </w:pPr>
      <w:r w:rsidRPr="00085434">
        <w:rPr>
          <w:rFonts w:ascii="Arial" w:hAnsi="Arial" w:cs="Arial"/>
          <w:sz w:val="24"/>
          <w:szCs w:val="24"/>
        </w:rPr>
        <w:t>Given the potential inaccuracies caused by assuming that an entire postcode falls int</w:t>
      </w:r>
      <w:r w:rsidR="003C6780">
        <w:rPr>
          <w:rFonts w:ascii="Arial" w:hAnsi="Arial" w:cs="Arial"/>
          <w:sz w:val="24"/>
          <w:szCs w:val="24"/>
        </w:rPr>
        <w:t>o a Communities First area</w:t>
      </w:r>
      <w:r w:rsidR="00C41E9E">
        <w:rPr>
          <w:rFonts w:ascii="Arial" w:hAnsi="Arial" w:cs="Arial"/>
          <w:sz w:val="24"/>
          <w:szCs w:val="24"/>
        </w:rPr>
        <w:t>,</w:t>
      </w:r>
      <w:r w:rsidR="003C6780">
        <w:rPr>
          <w:rFonts w:ascii="Arial" w:hAnsi="Arial" w:cs="Arial"/>
          <w:sz w:val="24"/>
          <w:szCs w:val="24"/>
        </w:rPr>
        <w:t xml:space="preserve"> the</w:t>
      </w:r>
      <w:r w:rsidRPr="00085434">
        <w:rPr>
          <w:rFonts w:ascii="Arial" w:hAnsi="Arial" w:cs="Arial"/>
          <w:sz w:val="24"/>
          <w:szCs w:val="24"/>
        </w:rPr>
        <w:t xml:space="preserve"> differences in performance of both groups</w:t>
      </w:r>
      <w:r w:rsidR="00E55EBC">
        <w:rPr>
          <w:rFonts w:ascii="Arial" w:hAnsi="Arial" w:cs="Arial"/>
          <w:sz w:val="24"/>
          <w:szCs w:val="24"/>
        </w:rPr>
        <w:t xml:space="preserve"> can be considered negligible. </w:t>
      </w:r>
    </w:p>
    <w:p w:rsidR="00E0463F" w:rsidRPr="00085434" w:rsidRDefault="00E0463F" w:rsidP="00085434">
      <w:pPr>
        <w:rPr>
          <w:rFonts w:ascii="Arial" w:hAnsi="Arial" w:cs="Arial"/>
          <w:sz w:val="24"/>
          <w:szCs w:val="24"/>
        </w:rPr>
      </w:pPr>
    </w:p>
    <w:p w:rsidR="00085434" w:rsidRPr="00E55EBC" w:rsidRDefault="00085434" w:rsidP="00085434">
      <w:pPr>
        <w:rPr>
          <w:rFonts w:ascii="Arial" w:hAnsi="Arial" w:cs="Arial"/>
          <w:b/>
          <w:sz w:val="24"/>
          <w:szCs w:val="24"/>
        </w:rPr>
      </w:pPr>
      <w:r w:rsidRPr="00085434">
        <w:rPr>
          <w:rFonts w:ascii="Arial" w:hAnsi="Arial" w:cs="Arial"/>
          <w:b/>
          <w:sz w:val="24"/>
          <w:szCs w:val="24"/>
        </w:rPr>
        <w:t>2008-2009</w:t>
      </w:r>
    </w:p>
    <w:p w:rsidR="00085434" w:rsidRPr="00085434" w:rsidRDefault="00085434" w:rsidP="00085434">
      <w:pPr>
        <w:rPr>
          <w:rFonts w:ascii="Arial" w:hAnsi="Arial" w:cs="Arial"/>
          <w:sz w:val="24"/>
          <w:szCs w:val="24"/>
        </w:rPr>
      </w:pPr>
      <w:r w:rsidRPr="00085434">
        <w:rPr>
          <w:rFonts w:ascii="Arial" w:hAnsi="Arial" w:cs="Arial"/>
          <w:sz w:val="24"/>
          <w:szCs w:val="24"/>
        </w:rPr>
        <w:t>Number of enrolments from Communities First areas = 7</w:t>
      </w:r>
      <w:r w:rsidR="00C41E9E">
        <w:rPr>
          <w:rFonts w:ascii="Arial" w:hAnsi="Arial" w:cs="Arial"/>
          <w:sz w:val="24"/>
          <w:szCs w:val="24"/>
        </w:rPr>
        <w:t>,</w:t>
      </w:r>
      <w:r w:rsidRPr="00085434">
        <w:rPr>
          <w:rFonts w:ascii="Arial" w:hAnsi="Arial" w:cs="Arial"/>
          <w:sz w:val="24"/>
          <w:szCs w:val="24"/>
        </w:rPr>
        <w:t>285</w:t>
      </w:r>
    </w:p>
    <w:p w:rsidR="00085434" w:rsidRPr="00085434" w:rsidRDefault="00085434" w:rsidP="00085434">
      <w:pPr>
        <w:rPr>
          <w:rFonts w:ascii="Arial" w:hAnsi="Arial" w:cs="Arial"/>
          <w:sz w:val="24"/>
          <w:szCs w:val="24"/>
        </w:rPr>
      </w:pPr>
      <w:r w:rsidRPr="00085434">
        <w:rPr>
          <w:rFonts w:ascii="Arial" w:hAnsi="Arial" w:cs="Arial"/>
          <w:sz w:val="24"/>
          <w:szCs w:val="24"/>
        </w:rPr>
        <w:t>Number of enrolments from non</w:t>
      </w:r>
      <w:r w:rsidR="00C41E9E">
        <w:rPr>
          <w:rFonts w:ascii="Arial" w:hAnsi="Arial" w:cs="Arial"/>
          <w:sz w:val="24"/>
          <w:szCs w:val="24"/>
        </w:rPr>
        <w:t>-</w:t>
      </w:r>
      <w:r w:rsidRPr="00085434">
        <w:rPr>
          <w:rFonts w:ascii="Arial" w:hAnsi="Arial" w:cs="Arial"/>
          <w:sz w:val="24"/>
          <w:szCs w:val="24"/>
        </w:rPr>
        <w:t>Communities First areas = 14</w:t>
      </w:r>
      <w:r w:rsidR="00C41E9E">
        <w:rPr>
          <w:rFonts w:ascii="Arial" w:hAnsi="Arial" w:cs="Arial"/>
          <w:sz w:val="24"/>
          <w:szCs w:val="24"/>
        </w:rPr>
        <w:t>,</w:t>
      </w:r>
      <w:r w:rsidRPr="00085434">
        <w:rPr>
          <w:rFonts w:ascii="Arial" w:hAnsi="Arial" w:cs="Arial"/>
          <w:sz w:val="24"/>
          <w:szCs w:val="24"/>
        </w:rPr>
        <w:t xml:space="preserve">677 </w:t>
      </w:r>
    </w:p>
    <w:p w:rsidR="00E55EBC" w:rsidRPr="00085434" w:rsidRDefault="00085434" w:rsidP="00085434">
      <w:pPr>
        <w:rPr>
          <w:rFonts w:ascii="Arial" w:hAnsi="Arial" w:cs="Arial"/>
          <w:sz w:val="24"/>
          <w:szCs w:val="24"/>
        </w:rPr>
      </w:pPr>
      <w:r w:rsidRPr="00085434">
        <w:rPr>
          <w:rFonts w:ascii="Arial" w:hAnsi="Arial" w:cs="Arial"/>
          <w:sz w:val="24"/>
          <w:szCs w:val="24"/>
        </w:rPr>
        <w:t>Tot</w:t>
      </w:r>
      <w:r w:rsidR="00E55EBC">
        <w:rPr>
          <w:rFonts w:ascii="Arial" w:hAnsi="Arial" w:cs="Arial"/>
          <w:sz w:val="24"/>
          <w:szCs w:val="24"/>
        </w:rPr>
        <w:t xml:space="preserve">al </w:t>
      </w:r>
      <w:r w:rsidR="00C41E9E">
        <w:rPr>
          <w:rFonts w:ascii="Arial" w:hAnsi="Arial" w:cs="Arial"/>
          <w:sz w:val="24"/>
          <w:szCs w:val="24"/>
        </w:rPr>
        <w:t>n</w:t>
      </w:r>
      <w:r w:rsidR="00E55EBC">
        <w:rPr>
          <w:rFonts w:ascii="Arial" w:hAnsi="Arial" w:cs="Arial"/>
          <w:sz w:val="24"/>
          <w:szCs w:val="24"/>
        </w:rPr>
        <w:t>umber of enrolments = 21</w:t>
      </w:r>
      <w:r w:rsidR="00C41E9E">
        <w:rPr>
          <w:rFonts w:ascii="Arial" w:hAnsi="Arial" w:cs="Arial"/>
          <w:sz w:val="24"/>
          <w:szCs w:val="24"/>
        </w:rPr>
        <w:t>,</w:t>
      </w:r>
      <w:r w:rsidR="00E55EBC">
        <w:rPr>
          <w:rFonts w:ascii="Arial" w:hAnsi="Arial" w:cs="Arial"/>
          <w:sz w:val="24"/>
          <w:szCs w:val="24"/>
        </w:rPr>
        <w:t>962</w:t>
      </w:r>
    </w:p>
    <w:p w:rsidR="00085434" w:rsidRPr="00085434" w:rsidRDefault="00085434" w:rsidP="00085434">
      <w:pPr>
        <w:rPr>
          <w:rFonts w:ascii="Arial" w:hAnsi="Arial" w:cs="Arial"/>
          <w:sz w:val="24"/>
          <w:szCs w:val="24"/>
        </w:rPr>
      </w:pPr>
      <w:r w:rsidRPr="00085434">
        <w:rPr>
          <w:rFonts w:ascii="Arial" w:hAnsi="Arial" w:cs="Arial"/>
          <w:sz w:val="24"/>
          <w:szCs w:val="24"/>
        </w:rPr>
        <w:t xml:space="preserve">Enrolments of learners resident in Communities First areas represent 33.2% of the </w:t>
      </w:r>
      <w:r w:rsidR="00C41E9E">
        <w:rPr>
          <w:rFonts w:ascii="Arial" w:hAnsi="Arial" w:cs="Arial"/>
          <w:sz w:val="24"/>
          <w:szCs w:val="24"/>
        </w:rPr>
        <w:t>C</w:t>
      </w:r>
      <w:r w:rsidRPr="00085434">
        <w:rPr>
          <w:rFonts w:ascii="Arial" w:hAnsi="Arial" w:cs="Arial"/>
          <w:sz w:val="24"/>
          <w:szCs w:val="24"/>
        </w:rPr>
        <w:t xml:space="preserve">ollege total. </w:t>
      </w:r>
    </w:p>
    <w:p w:rsidR="00085434" w:rsidRPr="00085434" w:rsidRDefault="00085434" w:rsidP="00085434">
      <w:pPr>
        <w:rPr>
          <w:rFonts w:ascii="Arial" w:hAnsi="Arial" w:cs="Arial"/>
          <w:sz w:val="24"/>
          <w:szCs w:val="24"/>
        </w:rPr>
      </w:pPr>
    </w:p>
    <w:p w:rsidR="00085434" w:rsidRPr="00085434" w:rsidRDefault="00085434" w:rsidP="00085434">
      <w:pPr>
        <w:rPr>
          <w:rFonts w:ascii="Arial" w:hAnsi="Arial" w:cs="Arial"/>
          <w:sz w:val="24"/>
          <w:szCs w:val="24"/>
        </w:rPr>
      </w:pPr>
    </w:p>
    <w:p w:rsidR="00085434" w:rsidRPr="00085434" w:rsidRDefault="00085434" w:rsidP="00085434">
      <w:pPr>
        <w:rPr>
          <w:rFonts w:ascii="Arial" w:hAnsi="Arial" w:cs="Arial"/>
          <w:sz w:val="24"/>
          <w:szCs w:val="24"/>
        </w:rPr>
      </w:pPr>
    </w:p>
    <w:p w:rsidR="00085434" w:rsidRDefault="00E55EBC" w:rsidP="00085434">
      <w:pPr>
        <w:jc w:val="center"/>
        <w:rPr>
          <w:rFonts w:ascii="Arial" w:hAnsi="Arial" w:cs="Arial"/>
          <w:sz w:val="24"/>
          <w:szCs w:val="24"/>
        </w:rPr>
      </w:pPr>
      <w:r w:rsidRPr="00E55EBC">
        <w:rPr>
          <w:rFonts w:ascii="Arial" w:hAnsi="Arial" w:cs="Arial"/>
          <w:noProof/>
          <w:sz w:val="24"/>
          <w:szCs w:val="24"/>
        </w:rPr>
        <w:drawing>
          <wp:inline distT="0" distB="0" distL="0" distR="0">
            <wp:extent cx="4591050" cy="2971800"/>
            <wp:effectExtent l="0" t="0" r="0" b="0"/>
            <wp:docPr id="80"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E0463F" w:rsidRPr="00085434" w:rsidRDefault="00E0463F" w:rsidP="00085434">
      <w:pPr>
        <w:jc w:val="center"/>
        <w:rPr>
          <w:rFonts w:ascii="Arial" w:hAnsi="Arial" w:cs="Arial"/>
          <w:sz w:val="24"/>
          <w:szCs w:val="24"/>
        </w:rPr>
      </w:pPr>
    </w:p>
    <w:p w:rsidR="00E55EBC" w:rsidRDefault="00E55EBC" w:rsidP="00E55EBC">
      <w:pPr>
        <w:rPr>
          <w:rFonts w:ascii="Arial" w:hAnsi="Arial" w:cs="Arial"/>
          <w:sz w:val="24"/>
          <w:szCs w:val="24"/>
        </w:rPr>
      </w:pPr>
      <w:r>
        <w:rPr>
          <w:rFonts w:ascii="Arial" w:hAnsi="Arial" w:cs="Arial"/>
          <w:sz w:val="24"/>
          <w:szCs w:val="24"/>
        </w:rPr>
        <w:t>The following chart illustrates the retention, attainment and success of learners from Communities First areas compared from non</w:t>
      </w:r>
      <w:r w:rsidR="0052241E">
        <w:rPr>
          <w:rFonts w:ascii="Arial" w:hAnsi="Arial" w:cs="Arial"/>
          <w:sz w:val="24"/>
          <w:szCs w:val="24"/>
        </w:rPr>
        <w:t>-</w:t>
      </w:r>
      <w:r>
        <w:rPr>
          <w:rFonts w:ascii="Arial" w:hAnsi="Arial" w:cs="Arial"/>
          <w:sz w:val="24"/>
          <w:szCs w:val="24"/>
        </w:rPr>
        <w:t>Communities First Areas:</w:t>
      </w:r>
    </w:p>
    <w:p w:rsidR="00E55EBC" w:rsidRDefault="00E55EBC" w:rsidP="00E55EBC">
      <w:pPr>
        <w:jc w:val="center"/>
        <w:rPr>
          <w:rFonts w:ascii="Arial" w:hAnsi="Arial" w:cs="Arial"/>
          <w:sz w:val="24"/>
          <w:szCs w:val="24"/>
        </w:rPr>
      </w:pPr>
    </w:p>
    <w:p w:rsidR="00085434" w:rsidRDefault="00E55EBC" w:rsidP="00E55EBC">
      <w:pPr>
        <w:jc w:val="center"/>
        <w:rPr>
          <w:rFonts w:ascii="Arial" w:hAnsi="Arial" w:cs="Arial"/>
          <w:sz w:val="24"/>
          <w:szCs w:val="24"/>
        </w:rPr>
      </w:pPr>
      <w:r w:rsidRPr="00E55EBC">
        <w:rPr>
          <w:rFonts w:ascii="Arial" w:hAnsi="Arial" w:cs="Arial"/>
          <w:noProof/>
          <w:sz w:val="24"/>
          <w:szCs w:val="24"/>
        </w:rPr>
        <w:drawing>
          <wp:inline distT="0" distB="0" distL="0" distR="0">
            <wp:extent cx="4619625" cy="2847975"/>
            <wp:effectExtent l="19050" t="0" r="0" b="0"/>
            <wp:docPr id="82"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E55EBC" w:rsidRPr="00085434" w:rsidRDefault="00E55EBC" w:rsidP="00E55EBC">
      <w:pPr>
        <w:jc w:val="center"/>
        <w:rPr>
          <w:rFonts w:ascii="Arial" w:hAnsi="Arial" w:cs="Arial"/>
          <w:sz w:val="24"/>
          <w:szCs w:val="24"/>
        </w:rPr>
      </w:pPr>
    </w:p>
    <w:p w:rsidR="00085434" w:rsidRPr="00085434" w:rsidRDefault="00085434" w:rsidP="00085434">
      <w:pPr>
        <w:rPr>
          <w:rFonts w:ascii="Arial" w:hAnsi="Arial" w:cs="Arial"/>
          <w:sz w:val="24"/>
          <w:szCs w:val="24"/>
        </w:rPr>
      </w:pPr>
      <w:r w:rsidRPr="00085434">
        <w:rPr>
          <w:rFonts w:ascii="Arial" w:hAnsi="Arial" w:cs="Arial"/>
          <w:sz w:val="24"/>
          <w:szCs w:val="24"/>
        </w:rPr>
        <w:t>In 2008-2009, retention for Communities First learners was 98.2% compared to 98.5% for non</w:t>
      </w:r>
      <w:r w:rsidR="00C41E9E">
        <w:rPr>
          <w:rFonts w:ascii="Arial" w:hAnsi="Arial" w:cs="Arial"/>
          <w:sz w:val="24"/>
          <w:szCs w:val="24"/>
        </w:rPr>
        <w:t>-</w:t>
      </w:r>
      <w:r w:rsidRPr="00085434">
        <w:rPr>
          <w:rFonts w:ascii="Arial" w:hAnsi="Arial" w:cs="Arial"/>
          <w:sz w:val="24"/>
          <w:szCs w:val="24"/>
        </w:rPr>
        <w:t>Communities First learners. Attainment amongst Communities First learners was 77.2% compared to 76.1% for non</w:t>
      </w:r>
      <w:r w:rsidR="00C41E9E">
        <w:rPr>
          <w:rFonts w:ascii="Arial" w:hAnsi="Arial" w:cs="Arial"/>
          <w:sz w:val="24"/>
          <w:szCs w:val="24"/>
        </w:rPr>
        <w:t>-</w:t>
      </w:r>
      <w:r w:rsidRPr="00085434">
        <w:rPr>
          <w:rFonts w:ascii="Arial" w:hAnsi="Arial" w:cs="Arial"/>
          <w:sz w:val="24"/>
          <w:szCs w:val="24"/>
        </w:rPr>
        <w:t>Communities First learners. “Success” for Communities First learners was 75.9% compared to 75.0% for non</w:t>
      </w:r>
      <w:r w:rsidR="00C41E9E">
        <w:rPr>
          <w:rFonts w:ascii="Arial" w:hAnsi="Arial" w:cs="Arial"/>
          <w:sz w:val="24"/>
          <w:szCs w:val="24"/>
        </w:rPr>
        <w:t>-</w:t>
      </w:r>
      <w:r w:rsidRPr="00085434">
        <w:rPr>
          <w:rFonts w:ascii="Arial" w:hAnsi="Arial" w:cs="Arial"/>
          <w:sz w:val="24"/>
          <w:szCs w:val="24"/>
        </w:rPr>
        <w:t xml:space="preserve"> Communities First learners.</w:t>
      </w:r>
    </w:p>
    <w:p w:rsidR="00085434" w:rsidRPr="00085434" w:rsidRDefault="00085434" w:rsidP="00E55EBC">
      <w:pPr>
        <w:rPr>
          <w:rFonts w:ascii="Arial" w:hAnsi="Arial" w:cs="Arial"/>
          <w:sz w:val="24"/>
          <w:szCs w:val="24"/>
        </w:rPr>
      </w:pPr>
    </w:p>
    <w:p w:rsidR="00085434" w:rsidRPr="00E55EBC" w:rsidRDefault="00085434" w:rsidP="00085434">
      <w:pPr>
        <w:rPr>
          <w:rFonts w:ascii="Arial" w:hAnsi="Arial" w:cs="Arial"/>
          <w:b/>
          <w:sz w:val="24"/>
          <w:szCs w:val="24"/>
        </w:rPr>
      </w:pPr>
      <w:r w:rsidRPr="00085434">
        <w:rPr>
          <w:rFonts w:ascii="Arial" w:hAnsi="Arial" w:cs="Arial"/>
          <w:b/>
          <w:sz w:val="24"/>
          <w:szCs w:val="24"/>
        </w:rPr>
        <w:t>2009-2010</w:t>
      </w:r>
    </w:p>
    <w:p w:rsidR="00085434" w:rsidRPr="00085434" w:rsidRDefault="00085434" w:rsidP="00085434">
      <w:pPr>
        <w:rPr>
          <w:rFonts w:ascii="Arial" w:hAnsi="Arial" w:cs="Arial"/>
          <w:sz w:val="24"/>
          <w:szCs w:val="24"/>
        </w:rPr>
      </w:pPr>
      <w:r w:rsidRPr="00085434">
        <w:rPr>
          <w:rFonts w:ascii="Arial" w:hAnsi="Arial" w:cs="Arial"/>
          <w:sz w:val="24"/>
          <w:szCs w:val="24"/>
        </w:rPr>
        <w:t>Number of enrolments from Communities First areas = 8</w:t>
      </w:r>
      <w:r w:rsidR="00C41E9E">
        <w:rPr>
          <w:rFonts w:ascii="Arial" w:hAnsi="Arial" w:cs="Arial"/>
          <w:sz w:val="24"/>
          <w:szCs w:val="24"/>
        </w:rPr>
        <w:t>,</w:t>
      </w:r>
      <w:r w:rsidRPr="00085434">
        <w:rPr>
          <w:rFonts w:ascii="Arial" w:hAnsi="Arial" w:cs="Arial"/>
          <w:sz w:val="24"/>
          <w:szCs w:val="24"/>
        </w:rPr>
        <w:t>218</w:t>
      </w:r>
    </w:p>
    <w:p w:rsidR="00085434" w:rsidRPr="00085434" w:rsidRDefault="00085434" w:rsidP="00085434">
      <w:pPr>
        <w:rPr>
          <w:rFonts w:ascii="Arial" w:hAnsi="Arial" w:cs="Arial"/>
          <w:sz w:val="24"/>
          <w:szCs w:val="24"/>
        </w:rPr>
      </w:pPr>
      <w:r w:rsidRPr="00085434">
        <w:rPr>
          <w:rFonts w:ascii="Arial" w:hAnsi="Arial" w:cs="Arial"/>
          <w:sz w:val="24"/>
          <w:szCs w:val="24"/>
        </w:rPr>
        <w:t>Number of enrolments from non Communities First areas = 16</w:t>
      </w:r>
      <w:r w:rsidR="00C41E9E">
        <w:rPr>
          <w:rFonts w:ascii="Arial" w:hAnsi="Arial" w:cs="Arial"/>
          <w:sz w:val="24"/>
          <w:szCs w:val="24"/>
        </w:rPr>
        <w:t>,</w:t>
      </w:r>
      <w:r w:rsidRPr="00085434">
        <w:rPr>
          <w:rFonts w:ascii="Arial" w:hAnsi="Arial" w:cs="Arial"/>
          <w:sz w:val="24"/>
          <w:szCs w:val="24"/>
        </w:rPr>
        <w:t xml:space="preserve">829 </w:t>
      </w:r>
    </w:p>
    <w:p w:rsidR="00085434" w:rsidRPr="00085434" w:rsidRDefault="00085434" w:rsidP="00085434">
      <w:pPr>
        <w:rPr>
          <w:rFonts w:ascii="Arial" w:hAnsi="Arial" w:cs="Arial"/>
          <w:sz w:val="24"/>
          <w:szCs w:val="24"/>
        </w:rPr>
      </w:pPr>
      <w:r w:rsidRPr="00085434">
        <w:rPr>
          <w:rFonts w:ascii="Arial" w:hAnsi="Arial" w:cs="Arial"/>
          <w:sz w:val="24"/>
          <w:szCs w:val="24"/>
        </w:rPr>
        <w:t>Tot</w:t>
      </w:r>
      <w:r w:rsidR="00E55EBC">
        <w:rPr>
          <w:rFonts w:ascii="Arial" w:hAnsi="Arial" w:cs="Arial"/>
          <w:sz w:val="24"/>
          <w:szCs w:val="24"/>
        </w:rPr>
        <w:t xml:space="preserve">al </w:t>
      </w:r>
      <w:r w:rsidR="00C41E9E">
        <w:rPr>
          <w:rFonts w:ascii="Arial" w:hAnsi="Arial" w:cs="Arial"/>
          <w:sz w:val="24"/>
          <w:szCs w:val="24"/>
        </w:rPr>
        <w:t>n</w:t>
      </w:r>
      <w:r w:rsidR="00E55EBC">
        <w:rPr>
          <w:rFonts w:ascii="Arial" w:hAnsi="Arial" w:cs="Arial"/>
          <w:sz w:val="24"/>
          <w:szCs w:val="24"/>
        </w:rPr>
        <w:t>umber of enrolments = 25</w:t>
      </w:r>
      <w:r w:rsidR="00C41E9E">
        <w:rPr>
          <w:rFonts w:ascii="Arial" w:hAnsi="Arial" w:cs="Arial"/>
          <w:sz w:val="24"/>
          <w:szCs w:val="24"/>
        </w:rPr>
        <w:t>,</w:t>
      </w:r>
      <w:r w:rsidR="00E55EBC">
        <w:rPr>
          <w:rFonts w:ascii="Arial" w:hAnsi="Arial" w:cs="Arial"/>
          <w:sz w:val="24"/>
          <w:szCs w:val="24"/>
        </w:rPr>
        <w:t>047</w:t>
      </w:r>
    </w:p>
    <w:p w:rsidR="00085434" w:rsidRDefault="00085434" w:rsidP="00085434">
      <w:pPr>
        <w:rPr>
          <w:rFonts w:ascii="Arial" w:hAnsi="Arial" w:cs="Arial"/>
          <w:sz w:val="24"/>
          <w:szCs w:val="24"/>
        </w:rPr>
      </w:pPr>
      <w:r w:rsidRPr="00085434">
        <w:rPr>
          <w:rFonts w:ascii="Arial" w:hAnsi="Arial" w:cs="Arial"/>
          <w:sz w:val="24"/>
          <w:szCs w:val="24"/>
        </w:rPr>
        <w:t xml:space="preserve">Enrolments of learners resident in Communities First areas represent 32.8% of the </w:t>
      </w:r>
      <w:r w:rsidR="00C41E9E">
        <w:rPr>
          <w:rFonts w:ascii="Arial" w:hAnsi="Arial" w:cs="Arial"/>
          <w:sz w:val="24"/>
          <w:szCs w:val="24"/>
        </w:rPr>
        <w:t>C</w:t>
      </w:r>
      <w:r w:rsidRPr="00085434">
        <w:rPr>
          <w:rFonts w:ascii="Arial" w:hAnsi="Arial" w:cs="Arial"/>
          <w:sz w:val="24"/>
          <w:szCs w:val="24"/>
        </w:rPr>
        <w:t xml:space="preserve">ollege total. </w:t>
      </w:r>
    </w:p>
    <w:p w:rsidR="00E0463F" w:rsidRPr="00085434" w:rsidRDefault="00E0463F" w:rsidP="00085434">
      <w:pPr>
        <w:rPr>
          <w:rFonts w:ascii="Arial" w:hAnsi="Arial" w:cs="Arial"/>
          <w:sz w:val="24"/>
          <w:szCs w:val="24"/>
        </w:rPr>
      </w:pPr>
    </w:p>
    <w:p w:rsidR="00085434" w:rsidRDefault="00E55EBC" w:rsidP="00E55EBC">
      <w:pPr>
        <w:jc w:val="center"/>
        <w:rPr>
          <w:rFonts w:ascii="Arial" w:hAnsi="Arial" w:cs="Arial"/>
          <w:sz w:val="24"/>
          <w:szCs w:val="24"/>
        </w:rPr>
      </w:pPr>
      <w:r w:rsidRPr="00E55EBC">
        <w:rPr>
          <w:rFonts w:ascii="Arial" w:hAnsi="Arial" w:cs="Arial"/>
          <w:noProof/>
          <w:sz w:val="24"/>
          <w:szCs w:val="24"/>
        </w:rPr>
        <w:drawing>
          <wp:inline distT="0" distB="0" distL="0" distR="0">
            <wp:extent cx="4572000" cy="2743200"/>
            <wp:effectExtent l="0" t="0" r="0" b="0"/>
            <wp:docPr id="83"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E0463F" w:rsidRPr="00085434" w:rsidRDefault="00E0463F" w:rsidP="00E55EBC">
      <w:pPr>
        <w:jc w:val="center"/>
        <w:rPr>
          <w:rFonts w:ascii="Arial" w:hAnsi="Arial" w:cs="Arial"/>
          <w:sz w:val="24"/>
          <w:szCs w:val="24"/>
        </w:rPr>
      </w:pPr>
    </w:p>
    <w:p w:rsidR="00E0463F" w:rsidRDefault="00E0463F" w:rsidP="006231C9">
      <w:pPr>
        <w:rPr>
          <w:rFonts w:ascii="Arial" w:hAnsi="Arial" w:cs="Arial"/>
          <w:sz w:val="24"/>
          <w:szCs w:val="24"/>
        </w:rPr>
      </w:pPr>
    </w:p>
    <w:p w:rsidR="00E0463F" w:rsidRDefault="00E0463F" w:rsidP="006231C9">
      <w:pPr>
        <w:rPr>
          <w:rFonts w:ascii="Arial" w:hAnsi="Arial" w:cs="Arial"/>
          <w:sz w:val="24"/>
          <w:szCs w:val="24"/>
        </w:rPr>
      </w:pPr>
    </w:p>
    <w:p w:rsidR="00E0463F" w:rsidRDefault="00E0463F" w:rsidP="006231C9">
      <w:pPr>
        <w:rPr>
          <w:rFonts w:ascii="Arial" w:hAnsi="Arial" w:cs="Arial"/>
          <w:sz w:val="24"/>
          <w:szCs w:val="24"/>
        </w:rPr>
      </w:pPr>
    </w:p>
    <w:p w:rsidR="00E0463F" w:rsidRDefault="00E0463F" w:rsidP="006231C9">
      <w:pPr>
        <w:rPr>
          <w:rFonts w:ascii="Arial" w:hAnsi="Arial" w:cs="Arial"/>
          <w:sz w:val="24"/>
          <w:szCs w:val="24"/>
        </w:rPr>
      </w:pPr>
    </w:p>
    <w:p w:rsidR="00E0463F" w:rsidRDefault="00E0463F" w:rsidP="006231C9">
      <w:pPr>
        <w:rPr>
          <w:rFonts w:ascii="Arial" w:hAnsi="Arial" w:cs="Arial"/>
          <w:sz w:val="24"/>
          <w:szCs w:val="24"/>
        </w:rPr>
      </w:pPr>
    </w:p>
    <w:p w:rsidR="00E0463F" w:rsidRDefault="00E0463F" w:rsidP="006231C9">
      <w:pPr>
        <w:rPr>
          <w:rFonts w:ascii="Arial" w:hAnsi="Arial" w:cs="Arial"/>
          <w:sz w:val="24"/>
          <w:szCs w:val="24"/>
        </w:rPr>
      </w:pPr>
    </w:p>
    <w:p w:rsidR="00E0463F" w:rsidRDefault="00E0463F" w:rsidP="006231C9">
      <w:pPr>
        <w:rPr>
          <w:rFonts w:ascii="Arial" w:hAnsi="Arial" w:cs="Arial"/>
          <w:sz w:val="24"/>
          <w:szCs w:val="24"/>
        </w:rPr>
      </w:pPr>
    </w:p>
    <w:p w:rsidR="006231C9" w:rsidRDefault="006231C9" w:rsidP="006231C9">
      <w:pPr>
        <w:rPr>
          <w:rFonts w:ascii="Arial" w:hAnsi="Arial" w:cs="Arial"/>
          <w:sz w:val="24"/>
          <w:szCs w:val="24"/>
        </w:rPr>
      </w:pPr>
      <w:r>
        <w:rPr>
          <w:rFonts w:ascii="Arial" w:hAnsi="Arial" w:cs="Arial"/>
          <w:sz w:val="24"/>
          <w:szCs w:val="24"/>
        </w:rPr>
        <w:t>The following chart illustrates the retention, attainment and success of learners from Communities First areas compared from non</w:t>
      </w:r>
      <w:r w:rsidR="00C41E9E">
        <w:rPr>
          <w:rFonts w:ascii="Arial" w:hAnsi="Arial" w:cs="Arial"/>
          <w:sz w:val="24"/>
          <w:szCs w:val="24"/>
        </w:rPr>
        <w:t>-</w:t>
      </w:r>
      <w:r>
        <w:rPr>
          <w:rFonts w:ascii="Arial" w:hAnsi="Arial" w:cs="Arial"/>
          <w:sz w:val="24"/>
          <w:szCs w:val="24"/>
        </w:rPr>
        <w:t>Communities First Areas:</w:t>
      </w:r>
    </w:p>
    <w:p w:rsidR="006231C9" w:rsidRDefault="006231C9" w:rsidP="006231C9">
      <w:pPr>
        <w:rPr>
          <w:rFonts w:ascii="Arial" w:hAnsi="Arial" w:cs="Arial"/>
          <w:sz w:val="24"/>
          <w:szCs w:val="24"/>
        </w:rPr>
      </w:pPr>
    </w:p>
    <w:p w:rsidR="00085434" w:rsidRPr="00085434" w:rsidRDefault="006231C9" w:rsidP="00085434">
      <w:pPr>
        <w:jc w:val="center"/>
        <w:rPr>
          <w:rFonts w:ascii="Arial" w:hAnsi="Arial" w:cs="Arial"/>
          <w:sz w:val="24"/>
          <w:szCs w:val="24"/>
        </w:rPr>
      </w:pPr>
      <w:r w:rsidRPr="006231C9">
        <w:rPr>
          <w:rFonts w:ascii="Arial" w:hAnsi="Arial" w:cs="Arial"/>
          <w:noProof/>
          <w:sz w:val="24"/>
          <w:szCs w:val="24"/>
        </w:rPr>
        <w:drawing>
          <wp:inline distT="0" distB="0" distL="0" distR="0">
            <wp:extent cx="4572000" cy="2743200"/>
            <wp:effectExtent l="0" t="0" r="0" b="0"/>
            <wp:docPr id="84"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085434" w:rsidRPr="00085434" w:rsidRDefault="00085434" w:rsidP="00085434">
      <w:pPr>
        <w:rPr>
          <w:rFonts w:ascii="Arial" w:hAnsi="Arial" w:cs="Arial"/>
          <w:sz w:val="24"/>
          <w:szCs w:val="24"/>
        </w:rPr>
      </w:pPr>
    </w:p>
    <w:p w:rsidR="00085434" w:rsidRPr="00085434" w:rsidRDefault="00085434" w:rsidP="00085434">
      <w:pPr>
        <w:rPr>
          <w:rFonts w:ascii="Arial" w:hAnsi="Arial" w:cs="Arial"/>
          <w:sz w:val="24"/>
          <w:szCs w:val="24"/>
        </w:rPr>
      </w:pPr>
      <w:r w:rsidRPr="00085434">
        <w:rPr>
          <w:rFonts w:ascii="Arial" w:hAnsi="Arial" w:cs="Arial"/>
          <w:sz w:val="24"/>
          <w:szCs w:val="24"/>
        </w:rPr>
        <w:t>In 2009-2010, retention for Communities First learners was 90.2% compared to 91.0% for non</w:t>
      </w:r>
      <w:r w:rsidR="00C41E9E">
        <w:rPr>
          <w:rFonts w:ascii="Arial" w:hAnsi="Arial" w:cs="Arial"/>
          <w:sz w:val="24"/>
          <w:szCs w:val="24"/>
        </w:rPr>
        <w:t>-</w:t>
      </w:r>
      <w:r w:rsidRPr="00085434">
        <w:rPr>
          <w:rFonts w:ascii="Arial" w:hAnsi="Arial" w:cs="Arial"/>
          <w:sz w:val="24"/>
          <w:szCs w:val="24"/>
        </w:rPr>
        <w:t>Communities First learners. Attainment amongst Communities First learners was 81.6% compared to 82.0% for non</w:t>
      </w:r>
      <w:r w:rsidR="00C41E9E">
        <w:rPr>
          <w:rFonts w:ascii="Arial" w:hAnsi="Arial" w:cs="Arial"/>
          <w:sz w:val="24"/>
          <w:szCs w:val="24"/>
        </w:rPr>
        <w:t>-</w:t>
      </w:r>
      <w:r w:rsidRPr="00085434">
        <w:rPr>
          <w:rFonts w:ascii="Arial" w:hAnsi="Arial" w:cs="Arial"/>
          <w:sz w:val="24"/>
          <w:szCs w:val="24"/>
        </w:rPr>
        <w:t xml:space="preserve">Communities First learners. “Success” for Communities First learners was 73.6% compared to 74.7% for </w:t>
      </w:r>
      <w:r w:rsidR="006231C9">
        <w:rPr>
          <w:rFonts w:ascii="Arial" w:hAnsi="Arial" w:cs="Arial"/>
          <w:sz w:val="24"/>
          <w:szCs w:val="24"/>
        </w:rPr>
        <w:t>non</w:t>
      </w:r>
      <w:r w:rsidR="00C41E9E">
        <w:rPr>
          <w:rFonts w:ascii="Arial" w:hAnsi="Arial" w:cs="Arial"/>
          <w:sz w:val="24"/>
          <w:szCs w:val="24"/>
        </w:rPr>
        <w:t>-</w:t>
      </w:r>
      <w:r w:rsidR="006231C9">
        <w:rPr>
          <w:rFonts w:ascii="Arial" w:hAnsi="Arial" w:cs="Arial"/>
          <w:sz w:val="24"/>
          <w:szCs w:val="24"/>
        </w:rPr>
        <w:t xml:space="preserve"> Communities First learners.</w:t>
      </w:r>
    </w:p>
    <w:p w:rsidR="00085434" w:rsidRPr="00085434" w:rsidRDefault="00085434" w:rsidP="00085434">
      <w:pPr>
        <w:rPr>
          <w:rFonts w:ascii="Arial" w:hAnsi="Arial" w:cs="Arial"/>
          <w:sz w:val="24"/>
          <w:szCs w:val="24"/>
        </w:rPr>
      </w:pPr>
      <w:r w:rsidRPr="00085434">
        <w:rPr>
          <w:rFonts w:ascii="Arial" w:hAnsi="Arial" w:cs="Arial"/>
          <w:sz w:val="24"/>
          <w:szCs w:val="24"/>
        </w:rPr>
        <w:t>By analysing the data over three successive years</w:t>
      </w:r>
      <w:r w:rsidR="00C41E9E">
        <w:rPr>
          <w:rFonts w:ascii="Arial" w:hAnsi="Arial" w:cs="Arial"/>
          <w:sz w:val="24"/>
          <w:szCs w:val="24"/>
        </w:rPr>
        <w:t>,</w:t>
      </w:r>
      <w:r w:rsidRPr="00085434">
        <w:rPr>
          <w:rFonts w:ascii="Arial" w:hAnsi="Arial" w:cs="Arial"/>
          <w:sz w:val="24"/>
          <w:szCs w:val="24"/>
        </w:rPr>
        <w:t xml:space="preserve"> it can be seen that approximately 30% of enrolments at Neath Port Talbot College are attributed to learners who resi</w:t>
      </w:r>
      <w:r w:rsidR="006231C9">
        <w:rPr>
          <w:rFonts w:ascii="Arial" w:hAnsi="Arial" w:cs="Arial"/>
          <w:sz w:val="24"/>
          <w:szCs w:val="24"/>
        </w:rPr>
        <w:t xml:space="preserve">de in Communities First areas. </w:t>
      </w:r>
    </w:p>
    <w:p w:rsidR="00E0463F" w:rsidRDefault="00E0463F" w:rsidP="00085434">
      <w:pPr>
        <w:rPr>
          <w:rFonts w:ascii="Arial" w:hAnsi="Arial" w:cs="Arial"/>
          <w:sz w:val="24"/>
          <w:szCs w:val="24"/>
        </w:rPr>
      </w:pPr>
    </w:p>
    <w:p w:rsidR="00E0463F" w:rsidRDefault="00E0463F" w:rsidP="00085434">
      <w:pPr>
        <w:rPr>
          <w:rFonts w:ascii="Arial" w:hAnsi="Arial" w:cs="Arial"/>
          <w:sz w:val="24"/>
          <w:szCs w:val="24"/>
        </w:rPr>
      </w:pPr>
    </w:p>
    <w:p w:rsidR="00E0463F" w:rsidRDefault="00E0463F" w:rsidP="00085434">
      <w:pPr>
        <w:rPr>
          <w:rFonts w:ascii="Arial" w:hAnsi="Arial" w:cs="Arial"/>
          <w:sz w:val="24"/>
          <w:szCs w:val="24"/>
        </w:rPr>
      </w:pPr>
    </w:p>
    <w:p w:rsidR="00E0463F" w:rsidRDefault="00E0463F" w:rsidP="00085434">
      <w:pPr>
        <w:rPr>
          <w:rFonts w:ascii="Arial" w:hAnsi="Arial" w:cs="Arial"/>
          <w:sz w:val="24"/>
          <w:szCs w:val="24"/>
        </w:rPr>
      </w:pPr>
    </w:p>
    <w:p w:rsidR="00E0463F" w:rsidRDefault="00E0463F" w:rsidP="00085434">
      <w:pPr>
        <w:rPr>
          <w:rFonts w:ascii="Arial" w:hAnsi="Arial" w:cs="Arial"/>
          <w:sz w:val="24"/>
          <w:szCs w:val="24"/>
        </w:rPr>
      </w:pPr>
    </w:p>
    <w:p w:rsidR="00E0463F" w:rsidRDefault="00E0463F" w:rsidP="00085434">
      <w:pPr>
        <w:rPr>
          <w:rFonts w:ascii="Arial" w:hAnsi="Arial" w:cs="Arial"/>
          <w:sz w:val="24"/>
          <w:szCs w:val="24"/>
        </w:rPr>
      </w:pPr>
    </w:p>
    <w:p w:rsidR="00E0463F" w:rsidRDefault="00E0463F" w:rsidP="00085434">
      <w:pPr>
        <w:rPr>
          <w:rFonts w:ascii="Arial" w:hAnsi="Arial" w:cs="Arial"/>
          <w:sz w:val="24"/>
          <w:szCs w:val="24"/>
        </w:rPr>
      </w:pPr>
    </w:p>
    <w:p w:rsidR="00E0463F" w:rsidRDefault="00E0463F" w:rsidP="00085434">
      <w:pPr>
        <w:rPr>
          <w:rFonts w:ascii="Arial" w:hAnsi="Arial" w:cs="Arial"/>
          <w:sz w:val="24"/>
          <w:szCs w:val="24"/>
        </w:rPr>
      </w:pPr>
    </w:p>
    <w:p w:rsidR="00085434" w:rsidRPr="00085434" w:rsidRDefault="00085434" w:rsidP="00085434">
      <w:pPr>
        <w:rPr>
          <w:rFonts w:ascii="Arial" w:hAnsi="Arial" w:cs="Arial"/>
          <w:sz w:val="24"/>
          <w:szCs w:val="24"/>
        </w:rPr>
      </w:pPr>
      <w:r w:rsidRPr="00085434">
        <w:rPr>
          <w:rFonts w:ascii="Arial" w:hAnsi="Arial" w:cs="Arial"/>
          <w:sz w:val="24"/>
          <w:szCs w:val="24"/>
        </w:rPr>
        <w:t>The following graphs show the trends in retention, attainment and success of learners from Communities First areas compared to those from outside Communities First areas.</w:t>
      </w:r>
    </w:p>
    <w:p w:rsidR="00085434" w:rsidRPr="00085434" w:rsidRDefault="00085434" w:rsidP="00085434">
      <w:pPr>
        <w:rPr>
          <w:rFonts w:ascii="Arial" w:hAnsi="Arial" w:cs="Arial"/>
          <w:sz w:val="24"/>
          <w:szCs w:val="24"/>
        </w:rPr>
      </w:pPr>
    </w:p>
    <w:p w:rsidR="00085434" w:rsidRPr="00085434" w:rsidRDefault="006245C8" w:rsidP="006245C8">
      <w:pPr>
        <w:jc w:val="center"/>
        <w:rPr>
          <w:rFonts w:ascii="Arial" w:hAnsi="Arial" w:cs="Arial"/>
          <w:sz w:val="24"/>
          <w:szCs w:val="24"/>
        </w:rPr>
      </w:pPr>
      <w:r w:rsidRPr="006245C8">
        <w:rPr>
          <w:rFonts w:ascii="Arial" w:hAnsi="Arial" w:cs="Arial"/>
          <w:noProof/>
          <w:sz w:val="24"/>
          <w:szCs w:val="24"/>
        </w:rPr>
        <w:drawing>
          <wp:inline distT="0" distB="0" distL="0" distR="0">
            <wp:extent cx="4343400" cy="2495550"/>
            <wp:effectExtent l="0" t="0" r="0" b="0"/>
            <wp:docPr id="8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A84ED8" w:rsidRPr="00085434" w:rsidRDefault="00A84ED8" w:rsidP="00A84ED8">
      <w:pPr>
        <w:rPr>
          <w:rFonts w:ascii="Arial" w:hAnsi="Arial" w:cs="Arial"/>
          <w:sz w:val="24"/>
          <w:szCs w:val="24"/>
        </w:rPr>
      </w:pPr>
    </w:p>
    <w:p w:rsidR="00A84ED8" w:rsidRPr="00085434" w:rsidRDefault="006245C8" w:rsidP="006245C8">
      <w:pPr>
        <w:jc w:val="center"/>
        <w:rPr>
          <w:rFonts w:ascii="Arial" w:hAnsi="Arial" w:cs="Arial"/>
          <w:sz w:val="24"/>
          <w:szCs w:val="24"/>
        </w:rPr>
      </w:pPr>
      <w:r w:rsidRPr="006245C8">
        <w:rPr>
          <w:rFonts w:ascii="Arial" w:hAnsi="Arial" w:cs="Arial"/>
          <w:noProof/>
          <w:sz w:val="24"/>
          <w:szCs w:val="24"/>
        </w:rPr>
        <w:drawing>
          <wp:inline distT="0" distB="0" distL="0" distR="0">
            <wp:extent cx="4381500" cy="2562225"/>
            <wp:effectExtent l="0" t="0" r="0" b="0"/>
            <wp:docPr id="8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A84ED8" w:rsidRDefault="00A84ED8" w:rsidP="00A84ED8">
      <w:pPr>
        <w:rPr>
          <w:rFonts w:ascii="Arial" w:hAnsi="Arial" w:cs="Arial"/>
          <w:sz w:val="24"/>
          <w:szCs w:val="24"/>
        </w:rPr>
      </w:pPr>
    </w:p>
    <w:p w:rsidR="006245C8" w:rsidRDefault="006245C8" w:rsidP="006245C8">
      <w:pPr>
        <w:jc w:val="center"/>
        <w:rPr>
          <w:rFonts w:ascii="Arial" w:hAnsi="Arial" w:cs="Arial"/>
          <w:sz w:val="24"/>
          <w:szCs w:val="24"/>
        </w:rPr>
      </w:pPr>
      <w:r w:rsidRPr="006245C8">
        <w:rPr>
          <w:rFonts w:ascii="Arial" w:hAnsi="Arial" w:cs="Arial"/>
          <w:noProof/>
          <w:sz w:val="24"/>
          <w:szCs w:val="24"/>
        </w:rPr>
        <w:drawing>
          <wp:inline distT="0" distB="0" distL="0" distR="0">
            <wp:extent cx="4572000" cy="2743200"/>
            <wp:effectExtent l="0" t="0" r="0" b="0"/>
            <wp:docPr id="8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6245C8" w:rsidRDefault="006245C8" w:rsidP="006245C8">
      <w:pPr>
        <w:jc w:val="center"/>
        <w:rPr>
          <w:rFonts w:ascii="Arial" w:hAnsi="Arial" w:cs="Arial"/>
          <w:sz w:val="24"/>
          <w:szCs w:val="24"/>
        </w:rPr>
      </w:pPr>
    </w:p>
    <w:p w:rsidR="006245C8" w:rsidRDefault="006245C8" w:rsidP="006245C8">
      <w:pPr>
        <w:rPr>
          <w:rFonts w:ascii="Arial" w:hAnsi="Arial" w:cs="Arial"/>
          <w:sz w:val="24"/>
          <w:szCs w:val="24"/>
        </w:rPr>
      </w:pPr>
      <w:r w:rsidRPr="006245C8">
        <w:rPr>
          <w:rFonts w:ascii="Arial" w:hAnsi="Arial" w:cs="Arial"/>
          <w:sz w:val="24"/>
          <w:szCs w:val="24"/>
        </w:rPr>
        <w:t>It can be seen that in the three years investigated the difference in retention, attainment and success of Communities First learners compared to non</w:t>
      </w:r>
      <w:r w:rsidR="00C41E9E">
        <w:rPr>
          <w:rFonts w:ascii="Arial" w:hAnsi="Arial" w:cs="Arial"/>
          <w:sz w:val="24"/>
          <w:szCs w:val="24"/>
        </w:rPr>
        <w:t>-</w:t>
      </w:r>
      <w:r w:rsidRPr="006245C8">
        <w:rPr>
          <w:rFonts w:ascii="Arial" w:hAnsi="Arial" w:cs="Arial"/>
          <w:sz w:val="24"/>
          <w:szCs w:val="24"/>
        </w:rPr>
        <w:t xml:space="preserve"> Communities First learners is negligible and may</w:t>
      </w:r>
      <w:r w:rsidR="00E66975">
        <w:rPr>
          <w:rFonts w:ascii="Arial" w:hAnsi="Arial" w:cs="Arial"/>
          <w:sz w:val="24"/>
          <w:szCs w:val="24"/>
        </w:rPr>
        <w:t xml:space="preserve"> be</w:t>
      </w:r>
      <w:r w:rsidRPr="006245C8">
        <w:rPr>
          <w:rFonts w:ascii="Arial" w:hAnsi="Arial" w:cs="Arial"/>
          <w:sz w:val="24"/>
          <w:szCs w:val="24"/>
        </w:rPr>
        <w:t xml:space="preserve"> attributed to inaccuracies in the exact determination of whether a learner resides in a Communities First area or not. </w:t>
      </w:r>
    </w:p>
    <w:p w:rsidR="007B0291" w:rsidRPr="00085434" w:rsidRDefault="007B0291" w:rsidP="006245C8">
      <w:pPr>
        <w:rPr>
          <w:rFonts w:ascii="Arial" w:hAnsi="Arial" w:cs="Arial"/>
          <w:sz w:val="24"/>
          <w:szCs w:val="24"/>
        </w:rPr>
      </w:pPr>
    </w:p>
    <w:p w:rsidR="00A84ED8" w:rsidRDefault="007B0291" w:rsidP="00A84ED8">
      <w:pPr>
        <w:rPr>
          <w:rFonts w:ascii="Arial" w:hAnsi="Arial" w:cs="Arial"/>
          <w:b/>
          <w:sz w:val="24"/>
          <w:szCs w:val="24"/>
        </w:rPr>
      </w:pPr>
      <w:r w:rsidRPr="007B0291">
        <w:rPr>
          <w:rFonts w:ascii="Arial" w:hAnsi="Arial" w:cs="Arial"/>
          <w:b/>
          <w:sz w:val="24"/>
          <w:szCs w:val="24"/>
        </w:rPr>
        <w:t>Success Trends by School</w:t>
      </w:r>
    </w:p>
    <w:p w:rsidR="00387F5D" w:rsidRPr="007B0291" w:rsidRDefault="00387F5D" w:rsidP="00A84ED8">
      <w:pPr>
        <w:rPr>
          <w:rFonts w:ascii="Arial" w:hAnsi="Arial" w:cs="Arial"/>
          <w:b/>
          <w:sz w:val="24"/>
          <w:szCs w:val="24"/>
        </w:rPr>
      </w:pPr>
    </w:p>
    <w:p w:rsidR="00A84ED8" w:rsidRDefault="007B0291" w:rsidP="00A84ED8">
      <w:pPr>
        <w:rPr>
          <w:rFonts w:ascii="Arial" w:hAnsi="Arial" w:cs="Arial"/>
          <w:b/>
          <w:sz w:val="24"/>
          <w:szCs w:val="24"/>
        </w:rPr>
      </w:pPr>
      <w:r w:rsidRPr="007B0291">
        <w:rPr>
          <w:rFonts w:ascii="Arial" w:hAnsi="Arial" w:cs="Arial"/>
          <w:b/>
          <w:sz w:val="24"/>
          <w:szCs w:val="24"/>
        </w:rPr>
        <w:t>ACE – School of Adult &amp; Community Education</w:t>
      </w:r>
    </w:p>
    <w:p w:rsidR="00E0463F" w:rsidRPr="007B0291" w:rsidRDefault="00E0463F" w:rsidP="00A84ED8">
      <w:pPr>
        <w:rPr>
          <w:rFonts w:ascii="Arial" w:hAnsi="Arial" w:cs="Arial"/>
          <w:b/>
          <w:sz w:val="24"/>
          <w:szCs w:val="24"/>
        </w:rPr>
      </w:pPr>
    </w:p>
    <w:p w:rsidR="007B0291" w:rsidRDefault="007B0291" w:rsidP="007B0291">
      <w:pPr>
        <w:jc w:val="center"/>
        <w:rPr>
          <w:rFonts w:ascii="Arial" w:hAnsi="Arial" w:cs="Arial"/>
          <w:sz w:val="24"/>
          <w:szCs w:val="24"/>
        </w:rPr>
      </w:pPr>
      <w:r w:rsidRPr="007B0291">
        <w:rPr>
          <w:rFonts w:ascii="Arial" w:hAnsi="Arial" w:cs="Arial"/>
          <w:noProof/>
          <w:sz w:val="24"/>
          <w:szCs w:val="24"/>
        </w:rPr>
        <w:drawing>
          <wp:inline distT="0" distB="0" distL="0" distR="0">
            <wp:extent cx="4572000" cy="2743200"/>
            <wp:effectExtent l="0" t="0" r="0" b="0"/>
            <wp:docPr id="6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7B0291" w:rsidRDefault="007B0291" w:rsidP="00A84ED8">
      <w:pPr>
        <w:rPr>
          <w:rFonts w:ascii="Arial" w:hAnsi="Arial" w:cs="Arial"/>
          <w:b/>
          <w:sz w:val="24"/>
          <w:szCs w:val="24"/>
        </w:rPr>
      </w:pPr>
      <w:r w:rsidRPr="007B0291">
        <w:rPr>
          <w:rFonts w:ascii="Arial" w:hAnsi="Arial" w:cs="Arial"/>
          <w:b/>
          <w:sz w:val="24"/>
          <w:szCs w:val="24"/>
        </w:rPr>
        <w:t>AE – Adult Education Franchise</w:t>
      </w:r>
    </w:p>
    <w:p w:rsidR="0052241E" w:rsidRPr="007B0291" w:rsidRDefault="0052241E" w:rsidP="00A84ED8">
      <w:pPr>
        <w:rPr>
          <w:rFonts w:ascii="Arial" w:hAnsi="Arial" w:cs="Arial"/>
          <w:b/>
          <w:sz w:val="24"/>
          <w:szCs w:val="24"/>
        </w:rPr>
      </w:pPr>
    </w:p>
    <w:p w:rsidR="007B0291" w:rsidRDefault="007B0291" w:rsidP="007B0291">
      <w:pPr>
        <w:jc w:val="center"/>
        <w:rPr>
          <w:rFonts w:ascii="Arial" w:hAnsi="Arial" w:cs="Arial"/>
          <w:sz w:val="24"/>
          <w:szCs w:val="24"/>
        </w:rPr>
      </w:pPr>
      <w:r w:rsidRPr="007B0291">
        <w:rPr>
          <w:rFonts w:ascii="Arial" w:hAnsi="Arial" w:cs="Arial"/>
          <w:noProof/>
          <w:sz w:val="24"/>
          <w:szCs w:val="24"/>
        </w:rPr>
        <w:drawing>
          <wp:inline distT="0" distB="0" distL="0" distR="0">
            <wp:extent cx="4572000" cy="2743200"/>
            <wp:effectExtent l="0" t="0" r="0" b="0"/>
            <wp:docPr id="6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7B0291" w:rsidRDefault="007B0291" w:rsidP="007B0291">
      <w:pPr>
        <w:jc w:val="center"/>
        <w:rPr>
          <w:rFonts w:ascii="Arial" w:hAnsi="Arial" w:cs="Arial"/>
          <w:sz w:val="24"/>
          <w:szCs w:val="24"/>
        </w:rPr>
      </w:pPr>
    </w:p>
    <w:p w:rsidR="007B0291" w:rsidRPr="007B0291" w:rsidRDefault="007B0291" w:rsidP="007B0291">
      <w:pPr>
        <w:rPr>
          <w:rFonts w:ascii="Arial" w:hAnsi="Arial" w:cs="Arial"/>
          <w:b/>
          <w:sz w:val="24"/>
          <w:szCs w:val="24"/>
        </w:rPr>
      </w:pPr>
      <w:r w:rsidRPr="007B0291">
        <w:rPr>
          <w:rFonts w:ascii="Arial" w:hAnsi="Arial" w:cs="Arial"/>
          <w:b/>
          <w:sz w:val="24"/>
          <w:szCs w:val="24"/>
        </w:rPr>
        <w:t>BTH – School of Business, Tourism and Hospitality</w:t>
      </w:r>
    </w:p>
    <w:p w:rsidR="007B0291" w:rsidRPr="00085434" w:rsidRDefault="007B0291" w:rsidP="007B0291">
      <w:pPr>
        <w:jc w:val="center"/>
        <w:rPr>
          <w:rFonts w:ascii="Arial" w:hAnsi="Arial" w:cs="Arial"/>
          <w:sz w:val="24"/>
          <w:szCs w:val="24"/>
        </w:rPr>
      </w:pPr>
    </w:p>
    <w:p w:rsidR="00A84ED8" w:rsidRPr="00085434" w:rsidRDefault="007B0291" w:rsidP="007B0291">
      <w:pPr>
        <w:jc w:val="center"/>
        <w:rPr>
          <w:rFonts w:ascii="Arial" w:hAnsi="Arial" w:cs="Arial"/>
          <w:sz w:val="24"/>
          <w:szCs w:val="24"/>
        </w:rPr>
      </w:pPr>
      <w:r w:rsidRPr="007B0291">
        <w:rPr>
          <w:rFonts w:ascii="Arial" w:hAnsi="Arial" w:cs="Arial"/>
          <w:noProof/>
          <w:sz w:val="24"/>
          <w:szCs w:val="24"/>
        </w:rPr>
        <w:drawing>
          <wp:inline distT="0" distB="0" distL="0" distR="0">
            <wp:extent cx="4572000" cy="2743200"/>
            <wp:effectExtent l="0" t="0" r="0" b="0"/>
            <wp:docPr id="6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A84ED8" w:rsidRPr="00085434" w:rsidRDefault="00A84ED8" w:rsidP="00A84ED8">
      <w:pPr>
        <w:rPr>
          <w:rFonts w:ascii="Arial" w:hAnsi="Arial" w:cs="Arial"/>
          <w:sz w:val="24"/>
          <w:szCs w:val="24"/>
        </w:rPr>
      </w:pPr>
    </w:p>
    <w:p w:rsidR="00A84ED8" w:rsidRDefault="00A84ED8" w:rsidP="00A84ED8">
      <w:pPr>
        <w:rPr>
          <w:rFonts w:ascii="Arial" w:hAnsi="Arial" w:cs="Arial"/>
          <w:sz w:val="24"/>
          <w:szCs w:val="24"/>
        </w:rPr>
      </w:pPr>
    </w:p>
    <w:p w:rsidR="00E0463F" w:rsidRDefault="00E0463F" w:rsidP="00A84ED8">
      <w:pPr>
        <w:rPr>
          <w:rFonts w:ascii="Arial" w:hAnsi="Arial" w:cs="Arial"/>
          <w:b/>
          <w:sz w:val="24"/>
          <w:szCs w:val="24"/>
        </w:rPr>
      </w:pPr>
    </w:p>
    <w:p w:rsidR="00E0463F" w:rsidRDefault="00E0463F" w:rsidP="00A84ED8">
      <w:pPr>
        <w:rPr>
          <w:rFonts w:ascii="Arial" w:hAnsi="Arial" w:cs="Arial"/>
          <w:b/>
          <w:sz w:val="24"/>
          <w:szCs w:val="24"/>
        </w:rPr>
      </w:pPr>
    </w:p>
    <w:p w:rsidR="007B0291" w:rsidRDefault="00A6133D" w:rsidP="00A84ED8">
      <w:pPr>
        <w:rPr>
          <w:rFonts w:ascii="Arial" w:hAnsi="Arial" w:cs="Arial"/>
          <w:b/>
          <w:sz w:val="24"/>
          <w:szCs w:val="24"/>
        </w:rPr>
      </w:pPr>
      <w:r w:rsidRPr="00A6133D">
        <w:rPr>
          <w:rFonts w:ascii="Arial" w:hAnsi="Arial" w:cs="Arial"/>
          <w:b/>
          <w:sz w:val="24"/>
          <w:szCs w:val="24"/>
        </w:rPr>
        <w:t>CBE – School of Construction and the Built Environment</w:t>
      </w:r>
    </w:p>
    <w:p w:rsidR="00E0463F" w:rsidRPr="00A6133D" w:rsidRDefault="00E0463F" w:rsidP="00A84ED8">
      <w:pPr>
        <w:rPr>
          <w:rFonts w:ascii="Arial" w:hAnsi="Arial" w:cs="Arial"/>
          <w:b/>
          <w:sz w:val="24"/>
          <w:szCs w:val="24"/>
        </w:rPr>
      </w:pPr>
    </w:p>
    <w:p w:rsidR="00A6133D" w:rsidRDefault="00A6133D" w:rsidP="00A6133D">
      <w:pPr>
        <w:jc w:val="center"/>
        <w:rPr>
          <w:rFonts w:ascii="Arial" w:hAnsi="Arial" w:cs="Arial"/>
          <w:sz w:val="24"/>
          <w:szCs w:val="24"/>
        </w:rPr>
      </w:pPr>
      <w:r w:rsidRPr="00A6133D">
        <w:rPr>
          <w:rFonts w:ascii="Arial" w:hAnsi="Arial" w:cs="Arial"/>
          <w:noProof/>
          <w:sz w:val="24"/>
          <w:szCs w:val="24"/>
        </w:rPr>
        <w:drawing>
          <wp:inline distT="0" distB="0" distL="0" distR="0">
            <wp:extent cx="4419600" cy="3009900"/>
            <wp:effectExtent l="0" t="0" r="0" b="0"/>
            <wp:docPr id="6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A6133D" w:rsidRPr="00A6133D" w:rsidRDefault="00A6133D" w:rsidP="00A6133D">
      <w:pPr>
        <w:jc w:val="center"/>
        <w:rPr>
          <w:rFonts w:ascii="Arial" w:hAnsi="Arial" w:cs="Arial"/>
          <w:b/>
          <w:sz w:val="24"/>
          <w:szCs w:val="24"/>
        </w:rPr>
      </w:pPr>
    </w:p>
    <w:p w:rsidR="00A6133D" w:rsidRDefault="00A6133D" w:rsidP="00A6133D">
      <w:pPr>
        <w:rPr>
          <w:rFonts w:ascii="Arial" w:hAnsi="Arial" w:cs="Arial"/>
          <w:b/>
          <w:sz w:val="24"/>
          <w:szCs w:val="24"/>
        </w:rPr>
      </w:pPr>
      <w:r w:rsidRPr="00A6133D">
        <w:rPr>
          <w:rFonts w:ascii="Arial" w:hAnsi="Arial" w:cs="Arial"/>
          <w:b/>
          <w:sz w:val="24"/>
          <w:szCs w:val="24"/>
        </w:rPr>
        <w:t>CIT – School of Computing and Information Technology</w:t>
      </w:r>
    </w:p>
    <w:p w:rsidR="00E0463F" w:rsidRPr="00A6133D" w:rsidRDefault="00E0463F" w:rsidP="00A6133D">
      <w:pPr>
        <w:rPr>
          <w:rFonts w:ascii="Arial" w:hAnsi="Arial" w:cs="Arial"/>
          <w:b/>
          <w:sz w:val="24"/>
          <w:szCs w:val="24"/>
        </w:rPr>
      </w:pPr>
    </w:p>
    <w:p w:rsidR="00A6133D" w:rsidRDefault="00A6133D" w:rsidP="00A6133D">
      <w:pPr>
        <w:jc w:val="center"/>
        <w:rPr>
          <w:rFonts w:ascii="Arial" w:hAnsi="Arial" w:cs="Arial"/>
          <w:sz w:val="24"/>
          <w:szCs w:val="24"/>
        </w:rPr>
      </w:pPr>
      <w:r w:rsidRPr="00A6133D">
        <w:rPr>
          <w:rFonts w:ascii="Arial" w:hAnsi="Arial" w:cs="Arial"/>
          <w:noProof/>
          <w:sz w:val="24"/>
          <w:szCs w:val="24"/>
        </w:rPr>
        <w:drawing>
          <wp:inline distT="0" distB="0" distL="0" distR="0">
            <wp:extent cx="4505325" cy="2971800"/>
            <wp:effectExtent l="0" t="0" r="0" b="0"/>
            <wp:docPr id="6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A6133D" w:rsidRDefault="00A6133D" w:rsidP="00A6133D">
      <w:pPr>
        <w:jc w:val="center"/>
        <w:rPr>
          <w:rFonts w:ascii="Arial" w:hAnsi="Arial" w:cs="Arial"/>
          <w:b/>
          <w:sz w:val="24"/>
          <w:szCs w:val="24"/>
        </w:rPr>
      </w:pPr>
    </w:p>
    <w:p w:rsidR="004B2202" w:rsidRDefault="004B2202" w:rsidP="00A6133D">
      <w:pPr>
        <w:jc w:val="center"/>
        <w:rPr>
          <w:rFonts w:ascii="Arial" w:hAnsi="Arial" w:cs="Arial"/>
          <w:b/>
          <w:sz w:val="24"/>
          <w:szCs w:val="24"/>
        </w:rPr>
      </w:pPr>
    </w:p>
    <w:p w:rsidR="004B2202" w:rsidRDefault="004B2202" w:rsidP="00A6133D">
      <w:pPr>
        <w:jc w:val="center"/>
        <w:rPr>
          <w:rFonts w:ascii="Arial" w:hAnsi="Arial" w:cs="Arial"/>
          <w:b/>
          <w:sz w:val="24"/>
          <w:szCs w:val="24"/>
        </w:rPr>
      </w:pPr>
    </w:p>
    <w:p w:rsidR="00A6133D" w:rsidRDefault="00A6133D" w:rsidP="00A6133D">
      <w:pPr>
        <w:rPr>
          <w:rFonts w:ascii="Arial" w:hAnsi="Arial" w:cs="Arial"/>
          <w:b/>
          <w:sz w:val="24"/>
          <w:szCs w:val="24"/>
        </w:rPr>
      </w:pPr>
      <w:r w:rsidRPr="0079665D">
        <w:rPr>
          <w:rFonts w:ascii="Arial" w:hAnsi="Arial" w:cs="Arial"/>
          <w:b/>
          <w:sz w:val="24"/>
          <w:szCs w:val="24"/>
        </w:rPr>
        <w:t>CVP – School of Creative, Visual and Performing Arts</w:t>
      </w:r>
    </w:p>
    <w:p w:rsidR="00E0463F" w:rsidRPr="0079665D" w:rsidRDefault="00E0463F" w:rsidP="00A6133D">
      <w:pPr>
        <w:rPr>
          <w:rFonts w:ascii="Arial" w:hAnsi="Arial" w:cs="Arial"/>
          <w:b/>
          <w:sz w:val="24"/>
          <w:szCs w:val="24"/>
        </w:rPr>
      </w:pPr>
    </w:p>
    <w:p w:rsidR="00A6133D" w:rsidRDefault="0079665D" w:rsidP="0079665D">
      <w:pPr>
        <w:jc w:val="center"/>
        <w:rPr>
          <w:rFonts w:ascii="Arial" w:hAnsi="Arial" w:cs="Arial"/>
          <w:sz w:val="24"/>
          <w:szCs w:val="24"/>
        </w:rPr>
      </w:pPr>
      <w:r w:rsidRPr="0079665D">
        <w:rPr>
          <w:rFonts w:ascii="Arial" w:hAnsi="Arial" w:cs="Arial"/>
          <w:noProof/>
          <w:sz w:val="24"/>
          <w:szCs w:val="24"/>
        </w:rPr>
        <w:drawing>
          <wp:inline distT="0" distB="0" distL="0" distR="0">
            <wp:extent cx="4562475" cy="2990850"/>
            <wp:effectExtent l="0" t="0" r="0" b="0"/>
            <wp:docPr id="6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4B2202" w:rsidRDefault="004B2202" w:rsidP="0079665D">
      <w:pPr>
        <w:jc w:val="center"/>
        <w:rPr>
          <w:rFonts w:ascii="Arial" w:hAnsi="Arial" w:cs="Arial"/>
          <w:sz w:val="24"/>
          <w:szCs w:val="24"/>
        </w:rPr>
      </w:pPr>
    </w:p>
    <w:p w:rsidR="00A6133D" w:rsidRDefault="004B2202" w:rsidP="00A6133D">
      <w:pPr>
        <w:rPr>
          <w:rFonts w:ascii="Arial" w:hAnsi="Arial" w:cs="Arial"/>
          <w:b/>
          <w:sz w:val="24"/>
          <w:szCs w:val="24"/>
        </w:rPr>
      </w:pPr>
      <w:r w:rsidRPr="004B2202">
        <w:rPr>
          <w:rFonts w:ascii="Arial" w:hAnsi="Arial" w:cs="Arial"/>
          <w:b/>
          <w:sz w:val="24"/>
          <w:szCs w:val="24"/>
        </w:rPr>
        <w:t>ENG – School of Engineering</w:t>
      </w:r>
    </w:p>
    <w:p w:rsidR="00E0463F" w:rsidRPr="004B2202" w:rsidRDefault="00E0463F" w:rsidP="00A6133D">
      <w:pPr>
        <w:rPr>
          <w:rFonts w:ascii="Arial" w:hAnsi="Arial" w:cs="Arial"/>
          <w:b/>
          <w:sz w:val="24"/>
          <w:szCs w:val="24"/>
        </w:rPr>
      </w:pPr>
    </w:p>
    <w:p w:rsidR="004B2202" w:rsidRDefault="004B2202" w:rsidP="004B2202">
      <w:pPr>
        <w:jc w:val="center"/>
        <w:rPr>
          <w:rFonts w:ascii="Arial" w:hAnsi="Arial" w:cs="Arial"/>
          <w:sz w:val="24"/>
          <w:szCs w:val="24"/>
        </w:rPr>
      </w:pPr>
      <w:r w:rsidRPr="004B2202">
        <w:rPr>
          <w:rFonts w:ascii="Arial" w:hAnsi="Arial" w:cs="Arial"/>
          <w:noProof/>
          <w:sz w:val="24"/>
          <w:szCs w:val="24"/>
        </w:rPr>
        <w:drawing>
          <wp:inline distT="0" distB="0" distL="0" distR="0">
            <wp:extent cx="4572000" cy="2847975"/>
            <wp:effectExtent l="0" t="0" r="0" b="0"/>
            <wp:docPr id="6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4B2202" w:rsidRDefault="004B2202" w:rsidP="004B2202">
      <w:pPr>
        <w:jc w:val="center"/>
        <w:rPr>
          <w:rFonts w:ascii="Arial" w:hAnsi="Arial" w:cs="Arial"/>
          <w:b/>
          <w:sz w:val="24"/>
          <w:szCs w:val="24"/>
        </w:rPr>
      </w:pPr>
    </w:p>
    <w:p w:rsidR="004B2202" w:rsidRDefault="004B2202" w:rsidP="004B2202">
      <w:pPr>
        <w:jc w:val="center"/>
        <w:rPr>
          <w:rFonts w:ascii="Arial" w:hAnsi="Arial" w:cs="Arial"/>
          <w:b/>
          <w:sz w:val="24"/>
          <w:szCs w:val="24"/>
        </w:rPr>
      </w:pPr>
    </w:p>
    <w:p w:rsidR="00B504C5" w:rsidRPr="004B2202" w:rsidRDefault="00B504C5" w:rsidP="004B2202">
      <w:pPr>
        <w:jc w:val="center"/>
        <w:rPr>
          <w:rFonts w:ascii="Arial" w:hAnsi="Arial" w:cs="Arial"/>
          <w:b/>
          <w:sz w:val="24"/>
          <w:szCs w:val="24"/>
        </w:rPr>
      </w:pPr>
    </w:p>
    <w:p w:rsidR="004B2202" w:rsidRDefault="004B2202" w:rsidP="004B2202">
      <w:pPr>
        <w:rPr>
          <w:rFonts w:ascii="Arial" w:hAnsi="Arial" w:cs="Arial"/>
          <w:b/>
          <w:sz w:val="24"/>
          <w:szCs w:val="24"/>
        </w:rPr>
      </w:pPr>
      <w:r w:rsidRPr="004B2202">
        <w:rPr>
          <w:rFonts w:ascii="Arial" w:hAnsi="Arial" w:cs="Arial"/>
          <w:b/>
          <w:sz w:val="24"/>
          <w:szCs w:val="24"/>
        </w:rPr>
        <w:t>Fac6Form – Faculty of Sixth Form</w:t>
      </w:r>
    </w:p>
    <w:p w:rsidR="00E0463F" w:rsidRPr="004B2202" w:rsidRDefault="00E0463F" w:rsidP="004B2202">
      <w:pPr>
        <w:rPr>
          <w:rFonts w:ascii="Arial" w:hAnsi="Arial" w:cs="Arial"/>
          <w:b/>
          <w:sz w:val="24"/>
          <w:szCs w:val="24"/>
        </w:rPr>
      </w:pPr>
    </w:p>
    <w:p w:rsidR="004B2202" w:rsidRDefault="004B2202" w:rsidP="004B2202">
      <w:pPr>
        <w:jc w:val="center"/>
        <w:rPr>
          <w:rFonts w:ascii="Arial" w:hAnsi="Arial" w:cs="Arial"/>
          <w:sz w:val="24"/>
          <w:szCs w:val="24"/>
        </w:rPr>
      </w:pPr>
      <w:r w:rsidRPr="004B2202">
        <w:rPr>
          <w:rFonts w:ascii="Arial" w:hAnsi="Arial" w:cs="Arial"/>
          <w:noProof/>
          <w:sz w:val="24"/>
          <w:szCs w:val="24"/>
        </w:rPr>
        <w:drawing>
          <wp:inline distT="0" distB="0" distL="0" distR="0">
            <wp:extent cx="4638675" cy="2886075"/>
            <wp:effectExtent l="0" t="0" r="0" b="0"/>
            <wp:docPr id="7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4B2202" w:rsidRPr="004B2202" w:rsidRDefault="004B2202" w:rsidP="004B2202">
      <w:pPr>
        <w:jc w:val="center"/>
        <w:rPr>
          <w:rFonts w:ascii="Arial" w:hAnsi="Arial" w:cs="Arial"/>
          <w:b/>
          <w:sz w:val="24"/>
          <w:szCs w:val="24"/>
        </w:rPr>
      </w:pPr>
    </w:p>
    <w:p w:rsidR="004B2202" w:rsidRDefault="004B2202" w:rsidP="004B2202">
      <w:pPr>
        <w:rPr>
          <w:rFonts w:ascii="Arial" w:hAnsi="Arial" w:cs="Arial"/>
          <w:b/>
          <w:sz w:val="24"/>
          <w:szCs w:val="24"/>
        </w:rPr>
      </w:pPr>
      <w:r w:rsidRPr="004B2202">
        <w:rPr>
          <w:rFonts w:ascii="Arial" w:hAnsi="Arial" w:cs="Arial"/>
          <w:b/>
          <w:sz w:val="24"/>
          <w:szCs w:val="24"/>
        </w:rPr>
        <w:t xml:space="preserve">HAT – </w:t>
      </w:r>
      <w:r w:rsidR="00C41E9E">
        <w:rPr>
          <w:rFonts w:ascii="Arial" w:hAnsi="Arial" w:cs="Arial"/>
          <w:b/>
          <w:sz w:val="24"/>
          <w:szCs w:val="24"/>
        </w:rPr>
        <w:t xml:space="preserve">School of </w:t>
      </w:r>
      <w:r w:rsidRPr="004B2202">
        <w:rPr>
          <w:rFonts w:ascii="Arial" w:hAnsi="Arial" w:cs="Arial"/>
          <w:b/>
          <w:sz w:val="24"/>
          <w:szCs w:val="24"/>
        </w:rPr>
        <w:t>Horticulture, Hairdressing &amp; Applied Therapies</w:t>
      </w:r>
    </w:p>
    <w:p w:rsidR="00E0463F" w:rsidRPr="004B2202" w:rsidRDefault="00E0463F" w:rsidP="004B2202">
      <w:pPr>
        <w:rPr>
          <w:rFonts w:ascii="Arial" w:hAnsi="Arial" w:cs="Arial"/>
          <w:b/>
          <w:sz w:val="24"/>
          <w:szCs w:val="24"/>
        </w:rPr>
      </w:pPr>
    </w:p>
    <w:p w:rsidR="004B2202" w:rsidRDefault="004B2202" w:rsidP="004B2202">
      <w:pPr>
        <w:jc w:val="center"/>
        <w:rPr>
          <w:rFonts w:ascii="Arial" w:hAnsi="Arial" w:cs="Arial"/>
          <w:sz w:val="24"/>
          <w:szCs w:val="24"/>
        </w:rPr>
      </w:pPr>
      <w:r w:rsidRPr="004B2202">
        <w:rPr>
          <w:rFonts w:ascii="Arial" w:hAnsi="Arial" w:cs="Arial"/>
          <w:noProof/>
          <w:sz w:val="24"/>
          <w:szCs w:val="24"/>
        </w:rPr>
        <w:drawing>
          <wp:inline distT="0" distB="0" distL="0" distR="0">
            <wp:extent cx="4400550" cy="3171825"/>
            <wp:effectExtent l="0" t="0" r="0" b="0"/>
            <wp:docPr id="7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4B2202" w:rsidRDefault="004B2202" w:rsidP="00A6133D">
      <w:pPr>
        <w:rPr>
          <w:rFonts w:ascii="Arial" w:hAnsi="Arial" w:cs="Arial"/>
          <w:sz w:val="24"/>
          <w:szCs w:val="24"/>
        </w:rPr>
      </w:pPr>
    </w:p>
    <w:p w:rsidR="00A6133D" w:rsidRPr="00085434" w:rsidRDefault="00A6133D" w:rsidP="00A84ED8">
      <w:pPr>
        <w:rPr>
          <w:rFonts w:ascii="Arial" w:hAnsi="Arial" w:cs="Arial"/>
          <w:sz w:val="24"/>
          <w:szCs w:val="24"/>
        </w:rPr>
      </w:pPr>
    </w:p>
    <w:p w:rsidR="00A84ED8" w:rsidRPr="00085434" w:rsidRDefault="00A84ED8" w:rsidP="00A84ED8">
      <w:pPr>
        <w:rPr>
          <w:rFonts w:ascii="Arial" w:hAnsi="Arial" w:cs="Arial"/>
          <w:sz w:val="24"/>
          <w:szCs w:val="24"/>
        </w:rPr>
      </w:pPr>
    </w:p>
    <w:p w:rsidR="00A84ED8" w:rsidRPr="00DB14F2" w:rsidRDefault="00DB14F2" w:rsidP="00A84ED8">
      <w:pPr>
        <w:rPr>
          <w:rFonts w:ascii="Arial" w:hAnsi="Arial" w:cs="Arial"/>
          <w:b/>
          <w:sz w:val="24"/>
          <w:szCs w:val="24"/>
        </w:rPr>
      </w:pPr>
      <w:r w:rsidRPr="00DB14F2">
        <w:rPr>
          <w:rFonts w:ascii="Arial" w:hAnsi="Arial" w:cs="Arial"/>
          <w:b/>
          <w:sz w:val="24"/>
          <w:szCs w:val="24"/>
        </w:rPr>
        <w:t>HSC – School of Health, Social &amp; Childcare</w:t>
      </w:r>
    </w:p>
    <w:p w:rsidR="00A84ED8" w:rsidRDefault="00A84ED8" w:rsidP="00A84ED8">
      <w:pPr>
        <w:rPr>
          <w:rFonts w:ascii="Arial" w:hAnsi="Arial" w:cs="Arial"/>
        </w:rPr>
      </w:pPr>
    </w:p>
    <w:p w:rsidR="00A84ED8" w:rsidRDefault="00DB14F2" w:rsidP="00DB14F2">
      <w:pPr>
        <w:jc w:val="center"/>
        <w:rPr>
          <w:rFonts w:ascii="Arial" w:hAnsi="Arial" w:cs="Arial"/>
        </w:rPr>
      </w:pPr>
      <w:r w:rsidRPr="00DB14F2">
        <w:rPr>
          <w:rFonts w:ascii="Arial" w:hAnsi="Arial" w:cs="Arial"/>
          <w:noProof/>
        </w:rPr>
        <w:drawing>
          <wp:inline distT="0" distB="0" distL="0" distR="0">
            <wp:extent cx="4572000" cy="2743200"/>
            <wp:effectExtent l="0" t="0" r="0" b="0"/>
            <wp:docPr id="7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DB14F2" w:rsidRDefault="00DB14F2" w:rsidP="00DB14F2">
      <w:pPr>
        <w:jc w:val="center"/>
        <w:rPr>
          <w:rFonts w:ascii="Arial" w:hAnsi="Arial" w:cs="Arial"/>
        </w:rPr>
      </w:pPr>
    </w:p>
    <w:p w:rsidR="00DB14F2" w:rsidRPr="007C1B10" w:rsidRDefault="00DB14F2" w:rsidP="00DB14F2">
      <w:pPr>
        <w:rPr>
          <w:rFonts w:ascii="Arial" w:hAnsi="Arial" w:cs="Arial"/>
          <w:b/>
          <w:sz w:val="24"/>
          <w:szCs w:val="24"/>
        </w:rPr>
      </w:pPr>
      <w:r w:rsidRPr="007C1B10">
        <w:rPr>
          <w:rFonts w:ascii="Arial" w:hAnsi="Arial" w:cs="Arial"/>
          <w:b/>
          <w:sz w:val="24"/>
          <w:szCs w:val="24"/>
        </w:rPr>
        <w:t>IBC – Industry &amp; Business Centre</w:t>
      </w:r>
    </w:p>
    <w:p w:rsidR="00DB14F2" w:rsidRPr="00DB14F2" w:rsidRDefault="00DB14F2" w:rsidP="00DB14F2">
      <w:pPr>
        <w:rPr>
          <w:rFonts w:ascii="Arial" w:hAnsi="Arial" w:cs="Arial"/>
          <w:b/>
        </w:rPr>
      </w:pPr>
    </w:p>
    <w:p w:rsidR="00DB14F2" w:rsidRDefault="00DB14F2" w:rsidP="00DB14F2">
      <w:pPr>
        <w:jc w:val="center"/>
        <w:rPr>
          <w:rFonts w:ascii="Arial" w:hAnsi="Arial" w:cs="Arial"/>
        </w:rPr>
      </w:pPr>
      <w:r w:rsidRPr="00DB14F2">
        <w:rPr>
          <w:rFonts w:ascii="Arial" w:hAnsi="Arial" w:cs="Arial"/>
          <w:noProof/>
        </w:rPr>
        <w:drawing>
          <wp:inline distT="0" distB="0" distL="0" distR="0">
            <wp:extent cx="4572000" cy="2743200"/>
            <wp:effectExtent l="0" t="0" r="0" b="0"/>
            <wp:docPr id="7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DB14F2" w:rsidRDefault="00DB14F2" w:rsidP="00DB14F2">
      <w:pPr>
        <w:rPr>
          <w:rFonts w:ascii="Arial" w:hAnsi="Arial" w:cs="Arial"/>
        </w:rPr>
      </w:pPr>
    </w:p>
    <w:p w:rsidR="00DB14F2" w:rsidRDefault="00DB14F2" w:rsidP="00DB14F2">
      <w:pPr>
        <w:rPr>
          <w:rFonts w:ascii="Arial" w:hAnsi="Arial" w:cs="Arial"/>
        </w:rPr>
      </w:pPr>
    </w:p>
    <w:p w:rsidR="00A84ED8" w:rsidRDefault="00A84ED8" w:rsidP="00A84ED8">
      <w:pPr>
        <w:rPr>
          <w:rFonts w:ascii="Arial" w:hAnsi="Arial" w:cs="Arial"/>
        </w:rPr>
      </w:pPr>
    </w:p>
    <w:p w:rsidR="00E0463F" w:rsidRDefault="00E0463F" w:rsidP="00A84ED8">
      <w:pPr>
        <w:rPr>
          <w:rFonts w:ascii="Arial" w:hAnsi="Arial" w:cs="Arial"/>
          <w:b/>
          <w:sz w:val="24"/>
          <w:szCs w:val="24"/>
        </w:rPr>
      </w:pPr>
    </w:p>
    <w:p w:rsidR="00E0463F" w:rsidRDefault="00E0463F" w:rsidP="00A84ED8">
      <w:pPr>
        <w:rPr>
          <w:rFonts w:ascii="Arial" w:hAnsi="Arial" w:cs="Arial"/>
          <w:b/>
          <w:sz w:val="24"/>
          <w:szCs w:val="24"/>
        </w:rPr>
      </w:pPr>
    </w:p>
    <w:p w:rsidR="00A84ED8" w:rsidRPr="007C1B10" w:rsidRDefault="00DB14F2" w:rsidP="00A84ED8">
      <w:pPr>
        <w:rPr>
          <w:rFonts w:ascii="Arial" w:hAnsi="Arial" w:cs="Arial"/>
          <w:b/>
          <w:sz w:val="24"/>
          <w:szCs w:val="24"/>
        </w:rPr>
      </w:pPr>
      <w:r w:rsidRPr="007C1B10">
        <w:rPr>
          <w:rFonts w:ascii="Arial" w:hAnsi="Arial" w:cs="Arial"/>
          <w:b/>
          <w:sz w:val="24"/>
          <w:szCs w:val="24"/>
        </w:rPr>
        <w:t>IES – Inclusive &amp; Essential Skills</w:t>
      </w:r>
    </w:p>
    <w:p w:rsidR="00DB14F2" w:rsidRDefault="00DB14F2" w:rsidP="00A84ED8">
      <w:pPr>
        <w:rPr>
          <w:rFonts w:ascii="Arial" w:hAnsi="Arial" w:cs="Arial"/>
        </w:rPr>
      </w:pPr>
    </w:p>
    <w:p w:rsidR="00A84ED8" w:rsidRDefault="00DB14F2" w:rsidP="00DB14F2">
      <w:pPr>
        <w:jc w:val="center"/>
        <w:rPr>
          <w:rFonts w:ascii="Arial" w:hAnsi="Arial" w:cs="Arial"/>
        </w:rPr>
      </w:pPr>
      <w:r w:rsidRPr="00DB14F2">
        <w:rPr>
          <w:rFonts w:ascii="Arial" w:hAnsi="Arial" w:cs="Arial"/>
          <w:noProof/>
        </w:rPr>
        <w:drawing>
          <wp:inline distT="0" distB="0" distL="0" distR="0">
            <wp:extent cx="4572000" cy="2743200"/>
            <wp:effectExtent l="0" t="0" r="0" b="0"/>
            <wp:docPr id="8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DB14F2" w:rsidRDefault="00DB14F2" w:rsidP="00DB14F2">
      <w:pPr>
        <w:jc w:val="center"/>
        <w:rPr>
          <w:rFonts w:ascii="Arial" w:hAnsi="Arial" w:cs="Arial"/>
        </w:rPr>
      </w:pPr>
    </w:p>
    <w:p w:rsidR="00DB14F2" w:rsidRPr="007C1B10" w:rsidRDefault="00DB14F2" w:rsidP="00DB14F2">
      <w:pPr>
        <w:rPr>
          <w:rFonts w:ascii="Arial" w:hAnsi="Arial" w:cs="Arial"/>
          <w:b/>
          <w:sz w:val="24"/>
          <w:szCs w:val="24"/>
        </w:rPr>
      </w:pPr>
      <w:r w:rsidRPr="007C1B10">
        <w:rPr>
          <w:rFonts w:ascii="Arial" w:hAnsi="Arial" w:cs="Arial"/>
          <w:b/>
          <w:sz w:val="24"/>
          <w:szCs w:val="24"/>
        </w:rPr>
        <w:t>MAS – School of Mathematics and Science</w:t>
      </w:r>
    </w:p>
    <w:p w:rsidR="00DB14F2" w:rsidRDefault="00DB14F2" w:rsidP="00DB14F2">
      <w:pPr>
        <w:rPr>
          <w:rFonts w:ascii="Arial" w:hAnsi="Arial" w:cs="Arial"/>
        </w:rPr>
      </w:pPr>
    </w:p>
    <w:p w:rsidR="00DB14F2" w:rsidRDefault="00DB14F2" w:rsidP="00DB14F2">
      <w:pPr>
        <w:jc w:val="center"/>
        <w:rPr>
          <w:rFonts w:ascii="Arial" w:hAnsi="Arial" w:cs="Arial"/>
        </w:rPr>
      </w:pPr>
      <w:r w:rsidRPr="00DB14F2">
        <w:rPr>
          <w:rFonts w:ascii="Arial" w:hAnsi="Arial" w:cs="Arial"/>
          <w:noProof/>
        </w:rPr>
        <w:drawing>
          <wp:inline distT="0" distB="0" distL="0" distR="0">
            <wp:extent cx="4572000" cy="2743200"/>
            <wp:effectExtent l="0" t="0" r="0" b="0"/>
            <wp:docPr id="8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A84ED8" w:rsidRPr="007C1B10" w:rsidRDefault="00A84ED8" w:rsidP="00A84ED8">
      <w:pPr>
        <w:rPr>
          <w:rFonts w:ascii="Arial" w:hAnsi="Arial" w:cs="Arial"/>
          <w:sz w:val="24"/>
          <w:szCs w:val="24"/>
        </w:rPr>
      </w:pPr>
    </w:p>
    <w:p w:rsidR="007C1B10" w:rsidRPr="007C1B10" w:rsidRDefault="007C1B10" w:rsidP="007C1B10">
      <w:pPr>
        <w:pStyle w:val="ListParagraph"/>
        <w:numPr>
          <w:ilvl w:val="0"/>
          <w:numId w:val="4"/>
        </w:numPr>
        <w:rPr>
          <w:rFonts w:ascii="Arial" w:hAnsi="Arial" w:cs="Arial"/>
          <w:sz w:val="24"/>
          <w:szCs w:val="24"/>
        </w:rPr>
      </w:pPr>
      <w:r w:rsidRPr="007C1B10">
        <w:rPr>
          <w:rFonts w:ascii="Arial" w:hAnsi="Arial" w:cs="Arial"/>
          <w:sz w:val="24"/>
          <w:szCs w:val="24"/>
        </w:rPr>
        <w:t>After 2007-2008</w:t>
      </w:r>
      <w:r w:rsidR="00C41E9E">
        <w:rPr>
          <w:rFonts w:ascii="Arial" w:hAnsi="Arial" w:cs="Arial"/>
          <w:sz w:val="24"/>
          <w:szCs w:val="24"/>
        </w:rPr>
        <w:t>,</w:t>
      </w:r>
      <w:r w:rsidRPr="007C1B10">
        <w:rPr>
          <w:rFonts w:ascii="Arial" w:hAnsi="Arial" w:cs="Arial"/>
          <w:sz w:val="24"/>
          <w:szCs w:val="24"/>
        </w:rPr>
        <w:t xml:space="preserve"> AS and A levels were moved to the Faculty of Sixth Form</w:t>
      </w:r>
      <w:r w:rsidR="00C41E9E">
        <w:rPr>
          <w:rFonts w:ascii="Arial" w:hAnsi="Arial" w:cs="Arial"/>
          <w:sz w:val="24"/>
          <w:szCs w:val="24"/>
        </w:rPr>
        <w:t>.</w:t>
      </w:r>
    </w:p>
    <w:p w:rsidR="00A84ED8" w:rsidRDefault="00A84ED8" w:rsidP="0082585E">
      <w:pPr>
        <w:rPr>
          <w:rFonts w:ascii="Arial" w:hAnsi="Arial" w:cs="Arial"/>
        </w:rPr>
      </w:pPr>
    </w:p>
    <w:p w:rsidR="0082585E" w:rsidRPr="007C1B10" w:rsidRDefault="0082585E" w:rsidP="0082585E">
      <w:pPr>
        <w:rPr>
          <w:rFonts w:ascii="Arial" w:hAnsi="Arial" w:cs="Arial"/>
          <w:sz w:val="24"/>
          <w:szCs w:val="24"/>
        </w:rPr>
      </w:pPr>
    </w:p>
    <w:p w:rsidR="00DB14F2" w:rsidRPr="007C1B10" w:rsidRDefault="00DB14F2" w:rsidP="0082585E">
      <w:pPr>
        <w:rPr>
          <w:rFonts w:ascii="Arial" w:hAnsi="Arial" w:cs="Arial"/>
          <w:b/>
          <w:sz w:val="24"/>
          <w:szCs w:val="24"/>
        </w:rPr>
      </w:pPr>
      <w:r w:rsidRPr="007C1B10">
        <w:rPr>
          <w:rFonts w:ascii="Arial" w:hAnsi="Arial" w:cs="Arial"/>
          <w:b/>
          <w:sz w:val="24"/>
          <w:szCs w:val="24"/>
        </w:rPr>
        <w:t>PVS – School of Pre</w:t>
      </w:r>
      <w:r w:rsidR="00C41E9E">
        <w:rPr>
          <w:rFonts w:ascii="Arial" w:hAnsi="Arial" w:cs="Arial"/>
          <w:b/>
          <w:sz w:val="24"/>
          <w:szCs w:val="24"/>
        </w:rPr>
        <w:t>-</w:t>
      </w:r>
      <w:r w:rsidRPr="007C1B10">
        <w:rPr>
          <w:rFonts w:ascii="Arial" w:hAnsi="Arial" w:cs="Arial"/>
          <w:b/>
          <w:sz w:val="24"/>
          <w:szCs w:val="24"/>
        </w:rPr>
        <w:t>Vocational Studies</w:t>
      </w:r>
    </w:p>
    <w:p w:rsidR="007C1B10" w:rsidRPr="00DB14F2" w:rsidRDefault="007C1B10" w:rsidP="0082585E">
      <w:pPr>
        <w:rPr>
          <w:rFonts w:ascii="Arial" w:hAnsi="Arial" w:cs="Arial"/>
          <w:b/>
        </w:rPr>
      </w:pPr>
    </w:p>
    <w:p w:rsidR="00DB14F2" w:rsidRDefault="00DB14F2" w:rsidP="00DB14F2">
      <w:pPr>
        <w:jc w:val="center"/>
        <w:rPr>
          <w:rFonts w:ascii="Arial" w:hAnsi="Arial" w:cs="Arial"/>
        </w:rPr>
      </w:pPr>
      <w:r w:rsidRPr="00DB14F2">
        <w:rPr>
          <w:rFonts w:ascii="Arial" w:hAnsi="Arial" w:cs="Arial"/>
          <w:noProof/>
        </w:rPr>
        <w:drawing>
          <wp:inline distT="0" distB="0" distL="0" distR="0">
            <wp:extent cx="4572000" cy="2743200"/>
            <wp:effectExtent l="0" t="0" r="0" b="0"/>
            <wp:docPr id="8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7C1B10" w:rsidRDefault="007C1B10" w:rsidP="00DB14F2">
      <w:pPr>
        <w:jc w:val="center"/>
        <w:rPr>
          <w:rFonts w:ascii="Arial" w:hAnsi="Arial" w:cs="Arial"/>
        </w:rPr>
      </w:pPr>
    </w:p>
    <w:p w:rsidR="00DB14F2" w:rsidRPr="007C1B10" w:rsidRDefault="007C1B10" w:rsidP="00DB14F2">
      <w:pPr>
        <w:rPr>
          <w:rFonts w:ascii="Arial" w:hAnsi="Arial" w:cs="Arial"/>
          <w:b/>
          <w:sz w:val="24"/>
          <w:szCs w:val="24"/>
        </w:rPr>
      </w:pPr>
      <w:r w:rsidRPr="007C1B10">
        <w:rPr>
          <w:rFonts w:ascii="Arial" w:hAnsi="Arial" w:cs="Arial"/>
          <w:b/>
          <w:sz w:val="24"/>
          <w:szCs w:val="24"/>
        </w:rPr>
        <w:t>SPS – School of Sport and Public Services</w:t>
      </w:r>
    </w:p>
    <w:p w:rsidR="007C1B10" w:rsidRDefault="007C1B10" w:rsidP="00DB14F2">
      <w:pPr>
        <w:rPr>
          <w:rFonts w:ascii="Arial" w:hAnsi="Arial" w:cs="Arial"/>
        </w:rPr>
      </w:pPr>
    </w:p>
    <w:p w:rsidR="007C1B10" w:rsidRDefault="007C1B10" w:rsidP="007C1B10">
      <w:pPr>
        <w:jc w:val="center"/>
        <w:rPr>
          <w:rFonts w:ascii="Arial" w:hAnsi="Arial" w:cs="Arial"/>
        </w:rPr>
      </w:pPr>
      <w:r w:rsidRPr="007C1B10">
        <w:rPr>
          <w:rFonts w:ascii="Arial" w:hAnsi="Arial" w:cs="Arial"/>
          <w:noProof/>
        </w:rPr>
        <w:drawing>
          <wp:inline distT="0" distB="0" distL="0" distR="0">
            <wp:extent cx="4572000" cy="2743200"/>
            <wp:effectExtent l="0" t="0" r="0" b="0"/>
            <wp:docPr id="9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DB14F2" w:rsidRDefault="00DB14F2" w:rsidP="0082585E">
      <w:pPr>
        <w:rPr>
          <w:rFonts w:ascii="Arial" w:hAnsi="Arial" w:cs="Arial"/>
        </w:rPr>
      </w:pPr>
    </w:p>
    <w:p w:rsidR="0082585E" w:rsidRDefault="0082585E" w:rsidP="0082585E">
      <w:pPr>
        <w:rPr>
          <w:rFonts w:ascii="Arial" w:hAnsi="Arial" w:cs="Arial"/>
        </w:rPr>
      </w:pPr>
    </w:p>
    <w:p w:rsidR="00D153A7" w:rsidRDefault="00D153A7" w:rsidP="0082585E">
      <w:pPr>
        <w:rPr>
          <w:rFonts w:ascii="Arial" w:hAnsi="Arial" w:cs="Arial"/>
        </w:rPr>
      </w:pPr>
    </w:p>
    <w:p w:rsidR="00E0463F" w:rsidRDefault="00E0463F" w:rsidP="0082585E">
      <w:pPr>
        <w:rPr>
          <w:rFonts w:ascii="Arial" w:hAnsi="Arial" w:cs="Arial"/>
          <w:b/>
          <w:sz w:val="24"/>
          <w:szCs w:val="24"/>
        </w:rPr>
      </w:pPr>
    </w:p>
    <w:p w:rsidR="00E0463F" w:rsidRDefault="00E0463F" w:rsidP="0082585E">
      <w:pPr>
        <w:rPr>
          <w:rFonts w:ascii="Arial" w:hAnsi="Arial" w:cs="Arial"/>
          <w:b/>
          <w:sz w:val="24"/>
          <w:szCs w:val="24"/>
        </w:rPr>
      </w:pPr>
    </w:p>
    <w:p w:rsidR="007C1B10" w:rsidRPr="007C1B10" w:rsidRDefault="007C1B10" w:rsidP="0082585E">
      <w:pPr>
        <w:rPr>
          <w:rFonts w:ascii="Arial" w:hAnsi="Arial" w:cs="Arial"/>
          <w:b/>
          <w:sz w:val="24"/>
          <w:szCs w:val="24"/>
        </w:rPr>
      </w:pPr>
      <w:r w:rsidRPr="007C1B10">
        <w:rPr>
          <w:rFonts w:ascii="Arial" w:hAnsi="Arial" w:cs="Arial"/>
          <w:b/>
          <w:sz w:val="24"/>
          <w:szCs w:val="24"/>
        </w:rPr>
        <w:t>SSL – School of Social Studies &amp; Languages</w:t>
      </w:r>
    </w:p>
    <w:p w:rsidR="007C1B10" w:rsidRDefault="007C1B10" w:rsidP="0082585E">
      <w:pPr>
        <w:rPr>
          <w:rFonts w:ascii="Arial" w:hAnsi="Arial" w:cs="Arial"/>
        </w:rPr>
      </w:pPr>
    </w:p>
    <w:p w:rsidR="007C1B10" w:rsidRDefault="007C1B10" w:rsidP="007C1B10">
      <w:pPr>
        <w:jc w:val="center"/>
        <w:rPr>
          <w:rFonts w:ascii="Arial" w:hAnsi="Arial" w:cs="Arial"/>
        </w:rPr>
      </w:pPr>
      <w:r w:rsidRPr="007C1B10">
        <w:rPr>
          <w:rFonts w:ascii="Arial" w:hAnsi="Arial" w:cs="Arial"/>
          <w:noProof/>
        </w:rPr>
        <w:drawing>
          <wp:inline distT="0" distB="0" distL="0" distR="0">
            <wp:extent cx="4572000" cy="2743200"/>
            <wp:effectExtent l="0" t="0" r="0" b="0"/>
            <wp:docPr id="9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7C1B10" w:rsidRDefault="007C1B10" w:rsidP="007C1B10">
      <w:pPr>
        <w:jc w:val="center"/>
        <w:rPr>
          <w:rFonts w:ascii="Arial" w:hAnsi="Arial" w:cs="Arial"/>
        </w:rPr>
      </w:pPr>
    </w:p>
    <w:p w:rsidR="007C1B10" w:rsidRDefault="007C1B10" w:rsidP="00387F5D">
      <w:pPr>
        <w:pStyle w:val="ListParagraph"/>
        <w:numPr>
          <w:ilvl w:val="0"/>
          <w:numId w:val="4"/>
        </w:numPr>
        <w:rPr>
          <w:rFonts w:ascii="Arial" w:hAnsi="Arial" w:cs="Arial"/>
          <w:sz w:val="24"/>
          <w:szCs w:val="24"/>
        </w:rPr>
      </w:pPr>
      <w:r w:rsidRPr="007C1B10">
        <w:rPr>
          <w:rFonts w:ascii="Arial" w:hAnsi="Arial" w:cs="Arial"/>
          <w:sz w:val="24"/>
          <w:szCs w:val="24"/>
        </w:rPr>
        <w:t>After 2007-2008</w:t>
      </w:r>
      <w:r w:rsidR="00C41E9E">
        <w:rPr>
          <w:rFonts w:ascii="Arial" w:hAnsi="Arial" w:cs="Arial"/>
          <w:sz w:val="24"/>
          <w:szCs w:val="24"/>
        </w:rPr>
        <w:t>,</w:t>
      </w:r>
      <w:r w:rsidRPr="007C1B10">
        <w:rPr>
          <w:rFonts w:ascii="Arial" w:hAnsi="Arial" w:cs="Arial"/>
          <w:sz w:val="24"/>
          <w:szCs w:val="24"/>
        </w:rPr>
        <w:t xml:space="preserve"> AS and A levels were moved to the Faculty of Sixth Form</w:t>
      </w:r>
      <w:r w:rsidR="00C41E9E">
        <w:rPr>
          <w:rFonts w:ascii="Arial" w:hAnsi="Arial" w:cs="Arial"/>
          <w:sz w:val="24"/>
          <w:szCs w:val="24"/>
        </w:rPr>
        <w:t>.</w:t>
      </w:r>
    </w:p>
    <w:p w:rsidR="00387F5D" w:rsidRPr="00387F5D" w:rsidRDefault="00387F5D" w:rsidP="00387F5D">
      <w:pPr>
        <w:pStyle w:val="ListParagraph"/>
        <w:rPr>
          <w:rFonts w:ascii="Arial" w:hAnsi="Arial" w:cs="Arial"/>
          <w:sz w:val="24"/>
          <w:szCs w:val="24"/>
        </w:rPr>
      </w:pPr>
    </w:p>
    <w:p w:rsidR="007C1B10" w:rsidRDefault="00D153A7" w:rsidP="0082585E">
      <w:pPr>
        <w:rPr>
          <w:rFonts w:ascii="Arial" w:hAnsi="Arial" w:cs="Arial"/>
          <w:b/>
          <w:sz w:val="24"/>
          <w:szCs w:val="24"/>
        </w:rPr>
      </w:pPr>
      <w:r>
        <w:rPr>
          <w:rFonts w:ascii="Arial" w:hAnsi="Arial" w:cs="Arial"/>
          <w:b/>
          <w:sz w:val="24"/>
          <w:szCs w:val="24"/>
        </w:rPr>
        <w:t xml:space="preserve">UFI – </w:t>
      </w:r>
      <w:proofErr w:type="spellStart"/>
      <w:r w:rsidR="00C41E9E">
        <w:rPr>
          <w:rFonts w:ascii="Arial" w:hAnsi="Arial" w:cs="Arial"/>
          <w:b/>
          <w:sz w:val="24"/>
          <w:szCs w:val="24"/>
        </w:rPr>
        <w:t>l</w:t>
      </w:r>
      <w:r>
        <w:rPr>
          <w:rFonts w:ascii="Arial" w:hAnsi="Arial" w:cs="Arial"/>
          <w:b/>
          <w:sz w:val="24"/>
          <w:szCs w:val="24"/>
        </w:rPr>
        <w:t>earn</w:t>
      </w:r>
      <w:r w:rsidR="00C41E9E">
        <w:rPr>
          <w:rFonts w:ascii="Arial" w:hAnsi="Arial" w:cs="Arial"/>
          <w:b/>
          <w:sz w:val="24"/>
          <w:szCs w:val="24"/>
        </w:rPr>
        <w:t>d</w:t>
      </w:r>
      <w:r w:rsidR="007C1B10" w:rsidRPr="007C1B10">
        <w:rPr>
          <w:rFonts w:ascii="Arial" w:hAnsi="Arial" w:cs="Arial"/>
          <w:b/>
          <w:sz w:val="24"/>
          <w:szCs w:val="24"/>
        </w:rPr>
        <w:t>irect</w:t>
      </w:r>
      <w:proofErr w:type="spellEnd"/>
    </w:p>
    <w:p w:rsidR="00E0463F" w:rsidRPr="00387F5D" w:rsidRDefault="00E0463F" w:rsidP="0082585E">
      <w:pPr>
        <w:rPr>
          <w:rFonts w:ascii="Arial" w:hAnsi="Arial" w:cs="Arial"/>
          <w:b/>
          <w:sz w:val="24"/>
          <w:szCs w:val="24"/>
        </w:rPr>
      </w:pPr>
    </w:p>
    <w:p w:rsidR="0082585E" w:rsidRDefault="007C1B10" w:rsidP="007C1B10">
      <w:pPr>
        <w:jc w:val="center"/>
        <w:rPr>
          <w:rFonts w:ascii="Arial" w:hAnsi="Arial" w:cs="Arial"/>
        </w:rPr>
      </w:pPr>
      <w:r w:rsidRPr="007C1B10">
        <w:rPr>
          <w:rFonts w:ascii="Arial" w:hAnsi="Arial" w:cs="Arial"/>
          <w:noProof/>
        </w:rPr>
        <w:drawing>
          <wp:inline distT="0" distB="0" distL="0" distR="0">
            <wp:extent cx="4572000" cy="2743200"/>
            <wp:effectExtent l="0" t="0" r="0" b="0"/>
            <wp:docPr id="9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7C1B10" w:rsidRDefault="007C1B10" w:rsidP="007C1B10">
      <w:pPr>
        <w:jc w:val="center"/>
        <w:rPr>
          <w:rFonts w:ascii="Arial" w:hAnsi="Arial" w:cs="Arial"/>
        </w:rPr>
      </w:pPr>
    </w:p>
    <w:p w:rsidR="00387F5D" w:rsidRDefault="007C1B10" w:rsidP="0082585E">
      <w:pPr>
        <w:rPr>
          <w:rFonts w:ascii="Arial" w:hAnsi="Arial" w:cs="Arial"/>
          <w:sz w:val="24"/>
          <w:szCs w:val="24"/>
        </w:rPr>
      </w:pPr>
      <w:r w:rsidRPr="007C1B10">
        <w:rPr>
          <w:rFonts w:ascii="Arial" w:hAnsi="Arial" w:cs="Arial"/>
          <w:sz w:val="24"/>
          <w:szCs w:val="24"/>
        </w:rPr>
        <w:t xml:space="preserve">There was insufficient data available to produce similar charts for the School of Building and Engineering Services and Pathways Training. </w:t>
      </w:r>
    </w:p>
    <w:p w:rsidR="00CC7848" w:rsidRPr="00CC7848" w:rsidRDefault="00EC665A" w:rsidP="00CC7848">
      <w:pPr>
        <w:rPr>
          <w:rFonts w:ascii="Arial" w:hAnsi="Arial" w:cs="Arial"/>
          <w:b/>
          <w:sz w:val="24"/>
          <w:szCs w:val="24"/>
        </w:rPr>
      </w:pPr>
      <w:r>
        <w:rPr>
          <w:rFonts w:ascii="Arial" w:hAnsi="Arial" w:cs="Arial"/>
          <w:b/>
          <w:sz w:val="24"/>
          <w:szCs w:val="24"/>
        </w:rPr>
        <w:t>Analysis of Data of L</w:t>
      </w:r>
      <w:r w:rsidR="00CC7848" w:rsidRPr="00CC7848">
        <w:rPr>
          <w:rFonts w:ascii="Arial" w:hAnsi="Arial" w:cs="Arial"/>
          <w:b/>
          <w:sz w:val="24"/>
          <w:szCs w:val="24"/>
        </w:rPr>
        <w:t>earners from the Travelling Community</w:t>
      </w:r>
    </w:p>
    <w:p w:rsidR="00CC7848" w:rsidRPr="00CC7848" w:rsidRDefault="00CC7848" w:rsidP="00CC7848">
      <w:pPr>
        <w:rPr>
          <w:rFonts w:ascii="Arial" w:hAnsi="Arial" w:cs="Arial"/>
          <w:b/>
          <w:sz w:val="24"/>
          <w:szCs w:val="24"/>
        </w:rPr>
      </w:pPr>
    </w:p>
    <w:p w:rsidR="00CC7848" w:rsidRPr="00CC7848" w:rsidRDefault="00CC7848" w:rsidP="00CC7848">
      <w:pPr>
        <w:rPr>
          <w:rFonts w:ascii="Arial" w:hAnsi="Arial" w:cs="Arial"/>
          <w:sz w:val="24"/>
          <w:szCs w:val="24"/>
        </w:rPr>
      </w:pPr>
      <w:r w:rsidRPr="00CC7848">
        <w:rPr>
          <w:rFonts w:ascii="Arial" w:hAnsi="Arial" w:cs="Arial"/>
          <w:sz w:val="24"/>
          <w:szCs w:val="24"/>
        </w:rPr>
        <w:t>It was difficult to obtain information regarding this</w:t>
      </w:r>
      <w:r>
        <w:rPr>
          <w:rFonts w:ascii="Arial" w:hAnsi="Arial" w:cs="Arial"/>
          <w:sz w:val="24"/>
          <w:szCs w:val="24"/>
        </w:rPr>
        <w:t xml:space="preserve"> particular group of learners. </w:t>
      </w:r>
    </w:p>
    <w:p w:rsidR="00CC7848" w:rsidRPr="00CC7848" w:rsidRDefault="00CC7848" w:rsidP="00CC7848">
      <w:pPr>
        <w:rPr>
          <w:rFonts w:ascii="Arial" w:hAnsi="Arial" w:cs="Arial"/>
          <w:sz w:val="24"/>
          <w:szCs w:val="24"/>
        </w:rPr>
      </w:pPr>
      <w:r w:rsidRPr="00CC7848">
        <w:rPr>
          <w:rFonts w:ascii="Arial" w:hAnsi="Arial" w:cs="Arial"/>
          <w:sz w:val="24"/>
          <w:szCs w:val="24"/>
        </w:rPr>
        <w:t xml:space="preserve">Andrea </w:t>
      </w:r>
      <w:proofErr w:type="spellStart"/>
      <w:r w:rsidRPr="00CC7848">
        <w:rPr>
          <w:rFonts w:ascii="Arial" w:hAnsi="Arial" w:cs="Arial"/>
          <w:sz w:val="24"/>
          <w:szCs w:val="24"/>
        </w:rPr>
        <w:t>Houlihan</w:t>
      </w:r>
      <w:proofErr w:type="spellEnd"/>
      <w:r w:rsidRPr="00CC7848">
        <w:rPr>
          <w:rFonts w:ascii="Arial" w:hAnsi="Arial" w:cs="Arial"/>
          <w:sz w:val="24"/>
          <w:szCs w:val="24"/>
        </w:rPr>
        <w:t xml:space="preserve"> provided the names of nine such learners who have attended Neath Port Talbot College recently. She </w:t>
      </w:r>
      <w:r w:rsidR="00C41E9E">
        <w:rPr>
          <w:rFonts w:ascii="Arial" w:hAnsi="Arial" w:cs="Arial"/>
          <w:sz w:val="24"/>
          <w:szCs w:val="24"/>
        </w:rPr>
        <w:t>stated</w:t>
      </w:r>
      <w:r w:rsidRPr="00CC7848">
        <w:rPr>
          <w:rFonts w:ascii="Arial" w:hAnsi="Arial" w:cs="Arial"/>
          <w:sz w:val="24"/>
          <w:szCs w:val="24"/>
        </w:rPr>
        <w:t xml:space="preserve"> that these learners came into </w:t>
      </w:r>
      <w:r w:rsidR="00C41E9E">
        <w:rPr>
          <w:rFonts w:ascii="Arial" w:hAnsi="Arial" w:cs="Arial"/>
          <w:sz w:val="24"/>
          <w:szCs w:val="24"/>
        </w:rPr>
        <w:t>C</w:t>
      </w:r>
      <w:r w:rsidRPr="00CC7848">
        <w:rPr>
          <w:rFonts w:ascii="Arial" w:hAnsi="Arial" w:cs="Arial"/>
          <w:sz w:val="24"/>
          <w:szCs w:val="24"/>
        </w:rPr>
        <w:t xml:space="preserve">ollege sporadically and undertook a number of Taster Sessions </w:t>
      </w:r>
      <w:r w:rsidR="00C41E9E">
        <w:rPr>
          <w:rFonts w:ascii="Arial" w:hAnsi="Arial" w:cs="Arial"/>
          <w:sz w:val="24"/>
          <w:szCs w:val="24"/>
        </w:rPr>
        <w:t>but</w:t>
      </w:r>
      <w:r w:rsidRPr="00CC7848">
        <w:rPr>
          <w:rFonts w:ascii="Arial" w:hAnsi="Arial" w:cs="Arial"/>
          <w:sz w:val="24"/>
          <w:szCs w:val="24"/>
        </w:rPr>
        <w:t xml:space="preserve"> did not comple</w:t>
      </w:r>
      <w:r>
        <w:rPr>
          <w:rFonts w:ascii="Arial" w:hAnsi="Arial" w:cs="Arial"/>
          <w:sz w:val="24"/>
          <w:szCs w:val="24"/>
        </w:rPr>
        <w:t xml:space="preserve">te any qualifications as such. </w:t>
      </w:r>
    </w:p>
    <w:p w:rsidR="00CC7848" w:rsidRPr="00CC7848" w:rsidRDefault="00CC7848" w:rsidP="00CC7848">
      <w:pPr>
        <w:rPr>
          <w:rFonts w:ascii="Arial" w:hAnsi="Arial" w:cs="Arial"/>
          <w:sz w:val="24"/>
          <w:szCs w:val="24"/>
        </w:rPr>
      </w:pPr>
      <w:r w:rsidRPr="00CC7848">
        <w:rPr>
          <w:rFonts w:ascii="Arial" w:hAnsi="Arial" w:cs="Arial"/>
          <w:sz w:val="24"/>
          <w:szCs w:val="24"/>
        </w:rPr>
        <w:t xml:space="preserve">When MIS looked into the names of </w:t>
      </w:r>
      <w:r w:rsidR="000C43CA">
        <w:rPr>
          <w:rFonts w:ascii="Arial" w:hAnsi="Arial" w:cs="Arial"/>
          <w:sz w:val="24"/>
          <w:szCs w:val="24"/>
        </w:rPr>
        <w:t>the learners</w:t>
      </w:r>
      <w:r w:rsidR="00C41E9E">
        <w:rPr>
          <w:rFonts w:ascii="Arial" w:hAnsi="Arial" w:cs="Arial"/>
          <w:sz w:val="24"/>
          <w:szCs w:val="24"/>
        </w:rPr>
        <w:t>,</w:t>
      </w:r>
      <w:r w:rsidR="000C43CA">
        <w:rPr>
          <w:rFonts w:ascii="Arial" w:hAnsi="Arial" w:cs="Arial"/>
          <w:sz w:val="24"/>
          <w:szCs w:val="24"/>
        </w:rPr>
        <w:t xml:space="preserve"> it was found that four</w:t>
      </w:r>
      <w:r w:rsidRPr="00CC7848">
        <w:rPr>
          <w:rFonts w:ascii="Arial" w:hAnsi="Arial" w:cs="Arial"/>
          <w:sz w:val="24"/>
          <w:szCs w:val="24"/>
        </w:rPr>
        <w:t xml:space="preserve"> of the learners had enrolment numbers for </w:t>
      </w:r>
      <w:r w:rsidR="00C41E9E">
        <w:rPr>
          <w:rFonts w:ascii="Arial" w:hAnsi="Arial" w:cs="Arial"/>
          <w:sz w:val="24"/>
          <w:szCs w:val="24"/>
        </w:rPr>
        <w:t>20</w:t>
      </w:r>
      <w:r w:rsidRPr="00CC7848">
        <w:rPr>
          <w:rFonts w:ascii="Arial" w:hAnsi="Arial" w:cs="Arial"/>
          <w:sz w:val="24"/>
          <w:szCs w:val="24"/>
        </w:rPr>
        <w:t>09</w:t>
      </w:r>
      <w:r w:rsidR="00C41E9E">
        <w:rPr>
          <w:rFonts w:ascii="Arial" w:hAnsi="Arial" w:cs="Arial"/>
          <w:sz w:val="24"/>
          <w:szCs w:val="24"/>
        </w:rPr>
        <w:t>-2010</w:t>
      </w:r>
      <w:r w:rsidRPr="00CC7848">
        <w:rPr>
          <w:rFonts w:ascii="Arial" w:hAnsi="Arial" w:cs="Arial"/>
          <w:sz w:val="24"/>
          <w:szCs w:val="24"/>
        </w:rPr>
        <w:t xml:space="preserve"> but there were no award details against the</w:t>
      </w:r>
      <w:r w:rsidR="00C41E9E">
        <w:rPr>
          <w:rFonts w:ascii="Arial" w:hAnsi="Arial" w:cs="Arial"/>
          <w:sz w:val="24"/>
          <w:szCs w:val="24"/>
        </w:rPr>
        <w:t>m</w:t>
      </w:r>
      <w:r w:rsidRPr="00CC7848">
        <w:rPr>
          <w:rFonts w:ascii="Arial" w:hAnsi="Arial" w:cs="Arial"/>
          <w:sz w:val="24"/>
          <w:szCs w:val="24"/>
        </w:rPr>
        <w:t xml:space="preserve">. The remaining five learners could not be found due to problems with the names </w:t>
      </w:r>
      <w:r>
        <w:rPr>
          <w:rFonts w:ascii="Arial" w:hAnsi="Arial" w:cs="Arial"/>
          <w:sz w:val="24"/>
          <w:szCs w:val="24"/>
        </w:rPr>
        <w:t xml:space="preserve">given or spelling of the name. </w:t>
      </w:r>
    </w:p>
    <w:p w:rsidR="00CC7848" w:rsidRPr="00CC7848" w:rsidRDefault="000C43CA" w:rsidP="00CC7848">
      <w:pPr>
        <w:rPr>
          <w:rFonts w:ascii="Arial" w:hAnsi="Arial" w:cs="Arial"/>
          <w:sz w:val="24"/>
          <w:szCs w:val="24"/>
        </w:rPr>
      </w:pPr>
      <w:r>
        <w:rPr>
          <w:rFonts w:ascii="Arial" w:hAnsi="Arial" w:cs="Arial"/>
          <w:sz w:val="24"/>
          <w:szCs w:val="24"/>
        </w:rPr>
        <w:t>If the C</w:t>
      </w:r>
      <w:r w:rsidR="00CC7848" w:rsidRPr="00CC7848">
        <w:rPr>
          <w:rFonts w:ascii="Arial" w:hAnsi="Arial" w:cs="Arial"/>
          <w:sz w:val="24"/>
          <w:szCs w:val="24"/>
        </w:rPr>
        <w:t>ollege wishes to track this group of learners in future years</w:t>
      </w:r>
      <w:r w:rsidR="00C41E9E">
        <w:rPr>
          <w:rFonts w:ascii="Arial" w:hAnsi="Arial" w:cs="Arial"/>
          <w:sz w:val="24"/>
          <w:szCs w:val="24"/>
        </w:rPr>
        <w:t>,</w:t>
      </w:r>
      <w:r w:rsidR="00CC7848" w:rsidRPr="00CC7848">
        <w:rPr>
          <w:rFonts w:ascii="Arial" w:hAnsi="Arial" w:cs="Arial"/>
          <w:sz w:val="24"/>
          <w:szCs w:val="24"/>
        </w:rPr>
        <w:t xml:space="preserve"> it is recommended that perhaps a more robust mechanism is used for the collection of their details and enrolments. </w:t>
      </w:r>
    </w:p>
    <w:p w:rsidR="00CC7848" w:rsidRPr="00CC7848" w:rsidRDefault="00CC7848" w:rsidP="00CC7848">
      <w:pPr>
        <w:rPr>
          <w:rFonts w:ascii="Arial" w:hAnsi="Arial" w:cs="Arial"/>
          <w:b/>
          <w:sz w:val="24"/>
          <w:szCs w:val="24"/>
        </w:rPr>
      </w:pPr>
    </w:p>
    <w:p w:rsidR="00CC7848" w:rsidRPr="00CC7848" w:rsidRDefault="00CC7848" w:rsidP="00CC7848">
      <w:pPr>
        <w:rPr>
          <w:rFonts w:ascii="Arial" w:hAnsi="Arial" w:cs="Arial"/>
          <w:b/>
          <w:sz w:val="24"/>
          <w:szCs w:val="24"/>
        </w:rPr>
      </w:pPr>
    </w:p>
    <w:p w:rsidR="00CC7848" w:rsidRDefault="00CC7848" w:rsidP="00CC7848">
      <w:pPr>
        <w:rPr>
          <w:rFonts w:ascii="Arial" w:hAnsi="Arial" w:cs="Arial"/>
          <w:b/>
        </w:rPr>
      </w:pPr>
    </w:p>
    <w:p w:rsidR="00CC7848" w:rsidRDefault="00CC7848" w:rsidP="00CC7848">
      <w:pPr>
        <w:rPr>
          <w:rFonts w:ascii="Arial" w:hAnsi="Arial" w:cs="Arial"/>
          <w:b/>
        </w:rPr>
      </w:pPr>
    </w:p>
    <w:p w:rsidR="00CC7848" w:rsidRDefault="00CC7848" w:rsidP="00CC7848">
      <w:pPr>
        <w:rPr>
          <w:rFonts w:ascii="Arial" w:hAnsi="Arial" w:cs="Arial"/>
          <w:b/>
        </w:rPr>
      </w:pPr>
    </w:p>
    <w:p w:rsidR="00CC7848" w:rsidRDefault="00CC7848" w:rsidP="00CC7848">
      <w:pPr>
        <w:rPr>
          <w:rFonts w:ascii="Arial" w:hAnsi="Arial" w:cs="Arial"/>
          <w:b/>
        </w:rPr>
      </w:pPr>
    </w:p>
    <w:p w:rsidR="00CC7848" w:rsidRDefault="00CC7848" w:rsidP="00CC7848">
      <w:pPr>
        <w:rPr>
          <w:rFonts w:ascii="Arial" w:hAnsi="Arial" w:cs="Arial"/>
          <w:b/>
        </w:rPr>
      </w:pPr>
    </w:p>
    <w:p w:rsidR="00CC7848" w:rsidRDefault="00CC7848" w:rsidP="00CC7848">
      <w:pPr>
        <w:rPr>
          <w:rFonts w:ascii="Arial" w:hAnsi="Arial" w:cs="Arial"/>
          <w:b/>
        </w:rPr>
      </w:pPr>
    </w:p>
    <w:p w:rsidR="00CC7848" w:rsidRDefault="00CC7848" w:rsidP="00CC7848">
      <w:pPr>
        <w:rPr>
          <w:rFonts w:ascii="Arial" w:hAnsi="Arial" w:cs="Arial"/>
          <w:b/>
        </w:rPr>
      </w:pPr>
    </w:p>
    <w:p w:rsidR="00CC7848" w:rsidRDefault="00CC7848" w:rsidP="00CC7848">
      <w:pPr>
        <w:rPr>
          <w:rFonts w:ascii="Arial" w:hAnsi="Arial" w:cs="Arial"/>
          <w:b/>
        </w:rPr>
      </w:pPr>
    </w:p>
    <w:p w:rsidR="00CC7848" w:rsidRDefault="00CC7848" w:rsidP="00CC7848">
      <w:pPr>
        <w:rPr>
          <w:rFonts w:ascii="Arial" w:hAnsi="Arial" w:cs="Arial"/>
          <w:b/>
        </w:rPr>
      </w:pPr>
    </w:p>
    <w:p w:rsidR="00CC7848" w:rsidRDefault="00CC7848" w:rsidP="00CC7848">
      <w:pPr>
        <w:rPr>
          <w:rFonts w:ascii="Arial" w:hAnsi="Arial" w:cs="Arial"/>
          <w:b/>
        </w:rPr>
      </w:pPr>
    </w:p>
    <w:p w:rsidR="00CC7848" w:rsidRDefault="00CC7848" w:rsidP="00CC7848">
      <w:pPr>
        <w:rPr>
          <w:rFonts w:ascii="Arial" w:hAnsi="Arial" w:cs="Arial"/>
          <w:b/>
        </w:rPr>
      </w:pPr>
    </w:p>
    <w:p w:rsidR="00CC7848" w:rsidRDefault="00CC7848" w:rsidP="00CC7848">
      <w:pPr>
        <w:rPr>
          <w:rFonts w:ascii="Arial" w:hAnsi="Arial" w:cs="Arial"/>
          <w:b/>
        </w:rPr>
      </w:pPr>
    </w:p>
    <w:p w:rsidR="00CC7848" w:rsidRDefault="00CC7848" w:rsidP="00CC7848">
      <w:pPr>
        <w:rPr>
          <w:rFonts w:ascii="Arial" w:hAnsi="Arial" w:cs="Arial"/>
          <w:b/>
        </w:rPr>
      </w:pPr>
    </w:p>
    <w:p w:rsidR="0052241E" w:rsidRDefault="0052241E" w:rsidP="00CC7848">
      <w:pPr>
        <w:rPr>
          <w:rFonts w:ascii="Arial" w:hAnsi="Arial" w:cs="Arial"/>
          <w:b/>
        </w:rPr>
      </w:pPr>
    </w:p>
    <w:p w:rsidR="00CC7848" w:rsidRDefault="00CC7848" w:rsidP="00CC7848">
      <w:pPr>
        <w:rPr>
          <w:rFonts w:ascii="Arial" w:hAnsi="Arial" w:cs="Arial"/>
          <w:b/>
        </w:rPr>
      </w:pPr>
    </w:p>
    <w:p w:rsidR="00CC7848" w:rsidRPr="00CC7848" w:rsidRDefault="00EC665A" w:rsidP="00CC7848">
      <w:pPr>
        <w:rPr>
          <w:rFonts w:ascii="Arial" w:hAnsi="Arial" w:cs="Arial"/>
          <w:b/>
          <w:sz w:val="24"/>
          <w:szCs w:val="24"/>
        </w:rPr>
      </w:pPr>
      <w:r>
        <w:rPr>
          <w:rFonts w:ascii="Arial" w:hAnsi="Arial" w:cs="Arial"/>
          <w:b/>
          <w:sz w:val="24"/>
          <w:szCs w:val="24"/>
        </w:rPr>
        <w:t>Analysis of D</w:t>
      </w:r>
      <w:r w:rsidR="00CC7848" w:rsidRPr="00CC7848">
        <w:rPr>
          <w:rFonts w:ascii="Arial" w:hAnsi="Arial" w:cs="Arial"/>
          <w:b/>
          <w:sz w:val="24"/>
          <w:szCs w:val="24"/>
        </w:rPr>
        <w:t xml:space="preserve">ata </w:t>
      </w:r>
      <w:r>
        <w:rPr>
          <w:rFonts w:ascii="Arial" w:hAnsi="Arial" w:cs="Arial"/>
          <w:b/>
          <w:sz w:val="24"/>
          <w:szCs w:val="24"/>
        </w:rPr>
        <w:t>of Learners in Receipt of Free M</w:t>
      </w:r>
      <w:r w:rsidR="00CC7848" w:rsidRPr="00CC7848">
        <w:rPr>
          <w:rFonts w:ascii="Arial" w:hAnsi="Arial" w:cs="Arial"/>
          <w:b/>
          <w:sz w:val="24"/>
          <w:szCs w:val="24"/>
        </w:rPr>
        <w:t>eals</w:t>
      </w:r>
    </w:p>
    <w:p w:rsidR="00CC7848" w:rsidRPr="00CC7848" w:rsidRDefault="00CC7848" w:rsidP="00CC7848">
      <w:pPr>
        <w:rPr>
          <w:rFonts w:ascii="Arial" w:hAnsi="Arial" w:cs="Arial"/>
          <w:sz w:val="24"/>
          <w:szCs w:val="24"/>
        </w:rPr>
      </w:pPr>
      <w:r w:rsidRPr="00CC7848">
        <w:rPr>
          <w:rFonts w:ascii="Arial" w:hAnsi="Arial" w:cs="Arial"/>
          <w:sz w:val="24"/>
          <w:szCs w:val="24"/>
        </w:rPr>
        <w:t>The retention, attainment and success of males and females in receipt of free meals was analysed in comparison to that of learners who are not i</w:t>
      </w:r>
      <w:r>
        <w:rPr>
          <w:rFonts w:ascii="Arial" w:hAnsi="Arial" w:cs="Arial"/>
          <w:sz w:val="24"/>
          <w:szCs w:val="24"/>
        </w:rPr>
        <w:t>n receipt of free meals.</w:t>
      </w:r>
    </w:p>
    <w:p w:rsidR="00CC7848" w:rsidRPr="00CC7848" w:rsidRDefault="00CC7848" w:rsidP="00CC7848">
      <w:pPr>
        <w:rPr>
          <w:rFonts w:ascii="Arial" w:hAnsi="Arial" w:cs="Arial"/>
          <w:sz w:val="24"/>
          <w:szCs w:val="24"/>
        </w:rPr>
      </w:pPr>
      <w:r w:rsidRPr="00CC7848">
        <w:rPr>
          <w:rFonts w:ascii="Arial" w:hAnsi="Arial" w:cs="Arial"/>
          <w:sz w:val="24"/>
          <w:szCs w:val="24"/>
        </w:rPr>
        <w:t>Learners access free meals via the Learner Support Fund. Prior to 2009-</w:t>
      </w:r>
      <w:r w:rsidR="00C41E9E">
        <w:rPr>
          <w:rFonts w:ascii="Arial" w:hAnsi="Arial" w:cs="Arial"/>
          <w:sz w:val="24"/>
          <w:szCs w:val="24"/>
        </w:rPr>
        <w:t>20</w:t>
      </w:r>
      <w:r w:rsidRPr="00CC7848">
        <w:rPr>
          <w:rFonts w:ascii="Arial" w:hAnsi="Arial" w:cs="Arial"/>
          <w:sz w:val="24"/>
          <w:szCs w:val="24"/>
        </w:rPr>
        <w:t>10</w:t>
      </w:r>
      <w:r w:rsidR="00C41E9E">
        <w:rPr>
          <w:rFonts w:ascii="Arial" w:hAnsi="Arial" w:cs="Arial"/>
          <w:sz w:val="24"/>
          <w:szCs w:val="24"/>
        </w:rPr>
        <w:t>,</w:t>
      </w:r>
      <w:r w:rsidRPr="00CC7848">
        <w:rPr>
          <w:rFonts w:ascii="Arial" w:hAnsi="Arial" w:cs="Arial"/>
          <w:sz w:val="24"/>
          <w:szCs w:val="24"/>
        </w:rPr>
        <w:t xml:space="preserve"> paper records were kept of the learners in receipt of free meals but there appeared to be some disparities in the records. Since 2009</w:t>
      </w:r>
      <w:r w:rsidR="00C41E9E">
        <w:rPr>
          <w:rFonts w:ascii="Arial" w:hAnsi="Arial" w:cs="Arial"/>
          <w:sz w:val="24"/>
          <w:szCs w:val="24"/>
        </w:rPr>
        <w:t>,</w:t>
      </w:r>
      <w:r w:rsidRPr="00CC7848">
        <w:rPr>
          <w:rFonts w:ascii="Arial" w:hAnsi="Arial" w:cs="Arial"/>
          <w:sz w:val="24"/>
          <w:szCs w:val="24"/>
        </w:rPr>
        <w:t xml:space="preserve"> the records are now held on a database so it is easier to track the attainment of such learners. Unfortunately</w:t>
      </w:r>
      <w:r w:rsidR="00C41E9E">
        <w:rPr>
          <w:rFonts w:ascii="Arial" w:hAnsi="Arial" w:cs="Arial"/>
          <w:sz w:val="24"/>
          <w:szCs w:val="24"/>
        </w:rPr>
        <w:t>,</w:t>
      </w:r>
      <w:r w:rsidRPr="00CC7848">
        <w:rPr>
          <w:rFonts w:ascii="Arial" w:hAnsi="Arial" w:cs="Arial"/>
          <w:sz w:val="24"/>
          <w:szCs w:val="24"/>
        </w:rPr>
        <w:t xml:space="preserve"> as a result</w:t>
      </w:r>
      <w:r w:rsidR="00C41E9E">
        <w:rPr>
          <w:rFonts w:ascii="Arial" w:hAnsi="Arial" w:cs="Arial"/>
          <w:sz w:val="24"/>
          <w:szCs w:val="24"/>
        </w:rPr>
        <w:t>,</w:t>
      </w:r>
      <w:r w:rsidRPr="00CC7848">
        <w:rPr>
          <w:rFonts w:ascii="Arial" w:hAnsi="Arial" w:cs="Arial"/>
          <w:sz w:val="24"/>
          <w:szCs w:val="24"/>
        </w:rPr>
        <w:t xml:space="preserve"> the only year that</w:t>
      </w:r>
      <w:r>
        <w:rPr>
          <w:rFonts w:ascii="Arial" w:hAnsi="Arial" w:cs="Arial"/>
          <w:sz w:val="24"/>
          <w:szCs w:val="24"/>
        </w:rPr>
        <w:t xml:space="preserve"> can be analysed is 2009-2010. </w:t>
      </w:r>
    </w:p>
    <w:p w:rsidR="00CC7848" w:rsidRPr="00CC7848" w:rsidRDefault="00CC7848" w:rsidP="00CC7848">
      <w:pPr>
        <w:rPr>
          <w:rFonts w:ascii="Arial" w:hAnsi="Arial" w:cs="Arial"/>
          <w:sz w:val="24"/>
          <w:szCs w:val="24"/>
        </w:rPr>
      </w:pPr>
      <w:r w:rsidRPr="00CC7848">
        <w:rPr>
          <w:rFonts w:ascii="Arial" w:hAnsi="Arial" w:cs="Arial"/>
          <w:sz w:val="24"/>
          <w:szCs w:val="24"/>
        </w:rPr>
        <w:t>It was evident when the data was received from MIS that the number of total enrolments for this period for this data set when com</w:t>
      </w:r>
      <w:r w:rsidR="00FA1300">
        <w:rPr>
          <w:rFonts w:ascii="Arial" w:hAnsi="Arial" w:cs="Arial"/>
          <w:sz w:val="24"/>
          <w:szCs w:val="24"/>
        </w:rPr>
        <w:t xml:space="preserve">pared to the other data sets such as </w:t>
      </w:r>
      <w:r w:rsidR="00D729EF">
        <w:rPr>
          <w:rFonts w:ascii="Arial" w:hAnsi="Arial" w:cs="Arial"/>
          <w:sz w:val="24"/>
          <w:szCs w:val="24"/>
        </w:rPr>
        <w:t>gender, disabi</w:t>
      </w:r>
      <w:r w:rsidR="00AC507D">
        <w:rPr>
          <w:rFonts w:ascii="Arial" w:hAnsi="Arial" w:cs="Arial"/>
          <w:sz w:val="24"/>
          <w:szCs w:val="24"/>
        </w:rPr>
        <w:t>lity, ethnicity and Communities</w:t>
      </w:r>
      <w:r w:rsidR="00D729EF">
        <w:rPr>
          <w:rFonts w:ascii="Arial" w:hAnsi="Arial" w:cs="Arial"/>
          <w:sz w:val="24"/>
          <w:szCs w:val="24"/>
        </w:rPr>
        <w:t xml:space="preserve"> F</w:t>
      </w:r>
      <w:r w:rsidRPr="00CC7848">
        <w:rPr>
          <w:rFonts w:ascii="Arial" w:hAnsi="Arial" w:cs="Arial"/>
          <w:sz w:val="24"/>
          <w:szCs w:val="24"/>
        </w:rPr>
        <w:t>irst were different. The other data sets give a total number of enrolments for 2009-2010 as being 25</w:t>
      </w:r>
      <w:r w:rsidR="00C41E9E">
        <w:rPr>
          <w:rFonts w:ascii="Arial" w:hAnsi="Arial" w:cs="Arial"/>
          <w:sz w:val="24"/>
          <w:szCs w:val="24"/>
        </w:rPr>
        <w:t>,</w:t>
      </w:r>
      <w:r w:rsidRPr="00CC7848">
        <w:rPr>
          <w:rFonts w:ascii="Arial" w:hAnsi="Arial" w:cs="Arial"/>
          <w:sz w:val="24"/>
          <w:szCs w:val="24"/>
        </w:rPr>
        <w:t>047 but the free meal data set gives a total number of enrolments as 25</w:t>
      </w:r>
      <w:r w:rsidR="00C41E9E">
        <w:rPr>
          <w:rFonts w:ascii="Arial" w:hAnsi="Arial" w:cs="Arial"/>
          <w:sz w:val="24"/>
          <w:szCs w:val="24"/>
        </w:rPr>
        <w:t>,</w:t>
      </w:r>
      <w:r w:rsidRPr="00CC7848">
        <w:rPr>
          <w:rFonts w:ascii="Arial" w:hAnsi="Arial" w:cs="Arial"/>
          <w:sz w:val="24"/>
          <w:szCs w:val="24"/>
        </w:rPr>
        <w:t>407. This equates to an additional 360 e</w:t>
      </w:r>
      <w:r w:rsidR="00FA1300">
        <w:rPr>
          <w:rFonts w:ascii="Arial" w:hAnsi="Arial" w:cs="Arial"/>
          <w:sz w:val="24"/>
          <w:szCs w:val="24"/>
        </w:rPr>
        <w:t>nrolments. On querying this with</w:t>
      </w:r>
      <w:r w:rsidRPr="00CC7848">
        <w:rPr>
          <w:rFonts w:ascii="Arial" w:hAnsi="Arial" w:cs="Arial"/>
          <w:sz w:val="24"/>
          <w:szCs w:val="24"/>
        </w:rPr>
        <w:t xml:space="preserve"> MIS</w:t>
      </w:r>
      <w:r w:rsidR="00AC507D">
        <w:rPr>
          <w:rFonts w:ascii="Arial" w:hAnsi="Arial" w:cs="Arial"/>
          <w:sz w:val="24"/>
          <w:szCs w:val="24"/>
        </w:rPr>
        <w:t>,</w:t>
      </w:r>
      <w:r w:rsidRPr="00CC7848">
        <w:rPr>
          <w:rFonts w:ascii="Arial" w:hAnsi="Arial" w:cs="Arial"/>
          <w:sz w:val="24"/>
          <w:szCs w:val="24"/>
        </w:rPr>
        <w:t xml:space="preserve"> it appears that the data for 2009-</w:t>
      </w:r>
      <w:r w:rsidR="00C41E9E">
        <w:rPr>
          <w:rFonts w:ascii="Arial" w:hAnsi="Arial" w:cs="Arial"/>
          <w:sz w:val="24"/>
          <w:szCs w:val="24"/>
        </w:rPr>
        <w:t>20</w:t>
      </w:r>
      <w:r w:rsidRPr="00CC7848">
        <w:rPr>
          <w:rFonts w:ascii="Arial" w:hAnsi="Arial" w:cs="Arial"/>
          <w:sz w:val="24"/>
          <w:szCs w:val="24"/>
        </w:rPr>
        <w:t>10 has been “cleaned up” and this accounts for the difference in the number of</w:t>
      </w:r>
      <w:r>
        <w:rPr>
          <w:rFonts w:ascii="Arial" w:hAnsi="Arial" w:cs="Arial"/>
          <w:sz w:val="24"/>
          <w:szCs w:val="24"/>
        </w:rPr>
        <w:t xml:space="preserve"> enrolments between data sets. </w:t>
      </w:r>
    </w:p>
    <w:p w:rsidR="00CC7848" w:rsidRPr="00CC7848" w:rsidRDefault="00CC7848" w:rsidP="00CC7848">
      <w:pPr>
        <w:rPr>
          <w:rFonts w:ascii="Arial" w:hAnsi="Arial" w:cs="Arial"/>
          <w:sz w:val="24"/>
          <w:szCs w:val="24"/>
        </w:rPr>
      </w:pPr>
      <w:r w:rsidRPr="00CC7848">
        <w:rPr>
          <w:rFonts w:ascii="Arial" w:hAnsi="Arial" w:cs="Arial"/>
          <w:sz w:val="24"/>
          <w:szCs w:val="24"/>
        </w:rPr>
        <w:t>It is</w:t>
      </w:r>
      <w:r w:rsidR="00C41E9E">
        <w:rPr>
          <w:rFonts w:ascii="Arial" w:hAnsi="Arial" w:cs="Arial"/>
          <w:sz w:val="24"/>
          <w:szCs w:val="24"/>
        </w:rPr>
        <w:t>,</w:t>
      </w:r>
      <w:r w:rsidRPr="00CC7848">
        <w:rPr>
          <w:rFonts w:ascii="Arial" w:hAnsi="Arial" w:cs="Arial"/>
          <w:sz w:val="24"/>
          <w:szCs w:val="24"/>
        </w:rPr>
        <w:t xml:space="preserve"> therefore</w:t>
      </w:r>
      <w:r w:rsidR="00C41E9E">
        <w:rPr>
          <w:rFonts w:ascii="Arial" w:hAnsi="Arial" w:cs="Arial"/>
          <w:sz w:val="24"/>
          <w:szCs w:val="24"/>
        </w:rPr>
        <w:t>,</w:t>
      </w:r>
      <w:r w:rsidRPr="00CC7848">
        <w:rPr>
          <w:rFonts w:ascii="Arial" w:hAnsi="Arial" w:cs="Arial"/>
          <w:sz w:val="24"/>
          <w:szCs w:val="24"/>
        </w:rPr>
        <w:t xml:space="preserve"> important to note that if this project were to be continued in future years that the data must be frozen and all the information extracted in a fixed timescale to prevent th</w:t>
      </w:r>
      <w:r>
        <w:rPr>
          <w:rFonts w:ascii="Arial" w:hAnsi="Arial" w:cs="Arial"/>
          <w:sz w:val="24"/>
          <w:szCs w:val="24"/>
        </w:rPr>
        <w:t xml:space="preserve">e same difficulties occurring. </w:t>
      </w:r>
    </w:p>
    <w:p w:rsidR="00CC7848" w:rsidRPr="00CC7848" w:rsidRDefault="00CC7848" w:rsidP="00CC7848">
      <w:pPr>
        <w:rPr>
          <w:rFonts w:ascii="Arial" w:hAnsi="Arial" w:cs="Arial"/>
          <w:sz w:val="24"/>
          <w:szCs w:val="24"/>
        </w:rPr>
      </w:pPr>
      <w:r w:rsidRPr="00CC7848">
        <w:rPr>
          <w:rFonts w:ascii="Arial" w:hAnsi="Arial" w:cs="Arial"/>
          <w:sz w:val="24"/>
          <w:szCs w:val="24"/>
        </w:rPr>
        <w:t>Nevertheless, it was possible to produce an analysi</w:t>
      </w:r>
      <w:r>
        <w:rPr>
          <w:rFonts w:ascii="Arial" w:hAnsi="Arial" w:cs="Arial"/>
          <w:sz w:val="24"/>
          <w:szCs w:val="24"/>
        </w:rPr>
        <w:t xml:space="preserve">s of the data. </w:t>
      </w:r>
    </w:p>
    <w:p w:rsidR="00CC7848" w:rsidRPr="00CC7848" w:rsidRDefault="00CC7848" w:rsidP="00CC7848">
      <w:pPr>
        <w:rPr>
          <w:rFonts w:ascii="Arial" w:hAnsi="Arial" w:cs="Arial"/>
          <w:sz w:val="24"/>
          <w:szCs w:val="24"/>
        </w:rPr>
      </w:pPr>
      <w:r w:rsidRPr="00CC7848">
        <w:rPr>
          <w:rFonts w:ascii="Arial" w:hAnsi="Arial" w:cs="Arial"/>
          <w:sz w:val="24"/>
          <w:szCs w:val="24"/>
        </w:rPr>
        <w:t>A summary of the number of enrolments from learners in receipt of free meals for 2</w:t>
      </w:r>
      <w:r>
        <w:rPr>
          <w:rFonts w:ascii="Arial" w:hAnsi="Arial" w:cs="Arial"/>
          <w:sz w:val="24"/>
          <w:szCs w:val="24"/>
        </w:rPr>
        <w:t>009-2010 is illustrated below</w:t>
      </w:r>
      <w:r w:rsidR="0046034A">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131"/>
      </w:tblGrid>
      <w:tr w:rsidR="00CC7848" w:rsidRPr="00CC7848" w:rsidTr="00CC7848">
        <w:tc>
          <w:tcPr>
            <w:tcW w:w="2130" w:type="dxa"/>
            <w:shd w:val="clear" w:color="auto" w:fill="E5B8B7" w:themeFill="accent2" w:themeFillTint="66"/>
          </w:tcPr>
          <w:p w:rsidR="00CC7848" w:rsidRPr="00CC7848" w:rsidRDefault="00CC7848" w:rsidP="004D78D7">
            <w:pPr>
              <w:rPr>
                <w:rFonts w:ascii="Arial" w:hAnsi="Arial" w:cs="Arial"/>
                <w:sz w:val="24"/>
                <w:szCs w:val="24"/>
              </w:rPr>
            </w:pPr>
          </w:p>
        </w:tc>
        <w:tc>
          <w:tcPr>
            <w:tcW w:w="2130" w:type="dxa"/>
            <w:shd w:val="clear" w:color="auto" w:fill="E5B8B7" w:themeFill="accent2" w:themeFillTint="66"/>
          </w:tcPr>
          <w:p w:rsidR="00CC7848" w:rsidRPr="00CC7848" w:rsidRDefault="00CC7848" w:rsidP="004D78D7">
            <w:pPr>
              <w:rPr>
                <w:rFonts w:ascii="Arial" w:hAnsi="Arial" w:cs="Arial"/>
                <w:sz w:val="24"/>
                <w:szCs w:val="24"/>
              </w:rPr>
            </w:pPr>
            <w:r w:rsidRPr="00CC7848">
              <w:rPr>
                <w:rFonts w:ascii="Arial" w:hAnsi="Arial" w:cs="Arial"/>
                <w:sz w:val="24"/>
                <w:szCs w:val="24"/>
              </w:rPr>
              <w:t>Number of male enrolments</w:t>
            </w:r>
          </w:p>
          <w:p w:rsidR="00CC7848" w:rsidRPr="00CC7848" w:rsidRDefault="00CC7848" w:rsidP="004D78D7">
            <w:pPr>
              <w:rPr>
                <w:rFonts w:ascii="Arial" w:hAnsi="Arial" w:cs="Arial"/>
                <w:sz w:val="24"/>
                <w:szCs w:val="24"/>
              </w:rPr>
            </w:pPr>
          </w:p>
        </w:tc>
        <w:tc>
          <w:tcPr>
            <w:tcW w:w="2131" w:type="dxa"/>
            <w:shd w:val="clear" w:color="auto" w:fill="E5B8B7" w:themeFill="accent2" w:themeFillTint="66"/>
          </w:tcPr>
          <w:p w:rsidR="00CC7848" w:rsidRPr="00CC7848" w:rsidRDefault="00CC7848" w:rsidP="004D78D7">
            <w:pPr>
              <w:rPr>
                <w:rFonts w:ascii="Arial" w:hAnsi="Arial" w:cs="Arial"/>
                <w:sz w:val="24"/>
                <w:szCs w:val="24"/>
              </w:rPr>
            </w:pPr>
            <w:r w:rsidRPr="00CC7848">
              <w:rPr>
                <w:rFonts w:ascii="Arial" w:hAnsi="Arial" w:cs="Arial"/>
                <w:sz w:val="24"/>
                <w:szCs w:val="24"/>
              </w:rPr>
              <w:t>Number of female enrolments</w:t>
            </w:r>
          </w:p>
        </w:tc>
        <w:tc>
          <w:tcPr>
            <w:tcW w:w="2131" w:type="dxa"/>
            <w:shd w:val="clear" w:color="auto" w:fill="E5B8B7" w:themeFill="accent2" w:themeFillTint="66"/>
          </w:tcPr>
          <w:p w:rsidR="00CC7848" w:rsidRPr="00CC7848" w:rsidRDefault="00CC7848" w:rsidP="004D78D7">
            <w:pPr>
              <w:rPr>
                <w:rFonts w:ascii="Arial" w:hAnsi="Arial" w:cs="Arial"/>
                <w:sz w:val="24"/>
                <w:szCs w:val="24"/>
              </w:rPr>
            </w:pPr>
            <w:r w:rsidRPr="00CC7848">
              <w:rPr>
                <w:rFonts w:ascii="Arial" w:hAnsi="Arial" w:cs="Arial"/>
                <w:sz w:val="24"/>
                <w:szCs w:val="24"/>
              </w:rPr>
              <w:t>Total number of enrolments</w:t>
            </w:r>
          </w:p>
        </w:tc>
      </w:tr>
      <w:tr w:rsidR="00CC7848" w:rsidRPr="00CC7848" w:rsidTr="00CC7848">
        <w:tc>
          <w:tcPr>
            <w:tcW w:w="2130" w:type="dxa"/>
            <w:shd w:val="clear" w:color="auto" w:fill="E5B8B7" w:themeFill="accent2" w:themeFillTint="66"/>
          </w:tcPr>
          <w:p w:rsidR="00CC7848" w:rsidRPr="00CC7848" w:rsidRDefault="00CC7848" w:rsidP="004D78D7">
            <w:pPr>
              <w:rPr>
                <w:rFonts w:ascii="Arial" w:hAnsi="Arial" w:cs="Arial"/>
                <w:sz w:val="24"/>
                <w:szCs w:val="24"/>
              </w:rPr>
            </w:pPr>
            <w:r w:rsidRPr="00CC7848">
              <w:rPr>
                <w:rFonts w:ascii="Arial" w:hAnsi="Arial" w:cs="Arial"/>
                <w:sz w:val="24"/>
                <w:szCs w:val="24"/>
              </w:rPr>
              <w:t>In receipt of free meals</w:t>
            </w:r>
          </w:p>
        </w:tc>
        <w:tc>
          <w:tcPr>
            <w:tcW w:w="2130" w:type="dxa"/>
          </w:tcPr>
          <w:p w:rsidR="00CC7848" w:rsidRPr="00CC7848" w:rsidRDefault="00CC7848" w:rsidP="004D78D7">
            <w:pPr>
              <w:rPr>
                <w:rFonts w:ascii="Arial" w:hAnsi="Arial" w:cs="Arial"/>
                <w:sz w:val="24"/>
                <w:szCs w:val="24"/>
              </w:rPr>
            </w:pPr>
            <w:r w:rsidRPr="00CC7848">
              <w:rPr>
                <w:rFonts w:ascii="Arial" w:hAnsi="Arial" w:cs="Arial"/>
                <w:sz w:val="24"/>
                <w:szCs w:val="24"/>
              </w:rPr>
              <w:t>989</w:t>
            </w:r>
          </w:p>
        </w:tc>
        <w:tc>
          <w:tcPr>
            <w:tcW w:w="2131" w:type="dxa"/>
          </w:tcPr>
          <w:p w:rsidR="00CC7848" w:rsidRPr="00CC7848" w:rsidRDefault="00CC7848" w:rsidP="004D78D7">
            <w:pPr>
              <w:rPr>
                <w:rFonts w:ascii="Arial" w:hAnsi="Arial" w:cs="Arial"/>
                <w:sz w:val="24"/>
                <w:szCs w:val="24"/>
              </w:rPr>
            </w:pPr>
            <w:r w:rsidRPr="00CC7848">
              <w:rPr>
                <w:rFonts w:ascii="Arial" w:hAnsi="Arial" w:cs="Arial"/>
                <w:sz w:val="24"/>
                <w:szCs w:val="24"/>
              </w:rPr>
              <w:t>1</w:t>
            </w:r>
            <w:r w:rsidR="00C41E9E">
              <w:rPr>
                <w:rFonts w:ascii="Arial" w:hAnsi="Arial" w:cs="Arial"/>
                <w:sz w:val="24"/>
                <w:szCs w:val="24"/>
              </w:rPr>
              <w:t>,</w:t>
            </w:r>
            <w:r w:rsidRPr="00CC7848">
              <w:rPr>
                <w:rFonts w:ascii="Arial" w:hAnsi="Arial" w:cs="Arial"/>
                <w:sz w:val="24"/>
                <w:szCs w:val="24"/>
              </w:rPr>
              <w:t>265</w:t>
            </w:r>
          </w:p>
        </w:tc>
        <w:tc>
          <w:tcPr>
            <w:tcW w:w="2131" w:type="dxa"/>
          </w:tcPr>
          <w:p w:rsidR="00CC7848" w:rsidRPr="00CC7848" w:rsidRDefault="00CC7848" w:rsidP="004D78D7">
            <w:pPr>
              <w:rPr>
                <w:rFonts w:ascii="Arial" w:hAnsi="Arial" w:cs="Arial"/>
                <w:sz w:val="24"/>
                <w:szCs w:val="24"/>
              </w:rPr>
            </w:pPr>
            <w:r w:rsidRPr="00CC7848">
              <w:rPr>
                <w:rFonts w:ascii="Arial" w:hAnsi="Arial" w:cs="Arial"/>
                <w:sz w:val="24"/>
                <w:szCs w:val="24"/>
              </w:rPr>
              <w:t>2</w:t>
            </w:r>
            <w:r w:rsidR="00C41E9E">
              <w:rPr>
                <w:rFonts w:ascii="Arial" w:hAnsi="Arial" w:cs="Arial"/>
                <w:sz w:val="24"/>
                <w:szCs w:val="24"/>
              </w:rPr>
              <w:t>,</w:t>
            </w:r>
            <w:r w:rsidRPr="00CC7848">
              <w:rPr>
                <w:rFonts w:ascii="Arial" w:hAnsi="Arial" w:cs="Arial"/>
                <w:sz w:val="24"/>
                <w:szCs w:val="24"/>
              </w:rPr>
              <w:t>254</w:t>
            </w:r>
          </w:p>
        </w:tc>
      </w:tr>
      <w:tr w:rsidR="00CC7848" w:rsidRPr="00CC7848" w:rsidTr="00CC7848">
        <w:tc>
          <w:tcPr>
            <w:tcW w:w="2130" w:type="dxa"/>
            <w:shd w:val="clear" w:color="auto" w:fill="E5B8B7" w:themeFill="accent2" w:themeFillTint="66"/>
          </w:tcPr>
          <w:p w:rsidR="00CC7848" w:rsidRPr="00CC7848" w:rsidRDefault="00CC7848" w:rsidP="004D78D7">
            <w:pPr>
              <w:rPr>
                <w:rFonts w:ascii="Arial" w:hAnsi="Arial" w:cs="Arial"/>
                <w:sz w:val="24"/>
                <w:szCs w:val="24"/>
              </w:rPr>
            </w:pPr>
            <w:r w:rsidRPr="00CC7848">
              <w:rPr>
                <w:rFonts w:ascii="Arial" w:hAnsi="Arial" w:cs="Arial"/>
                <w:sz w:val="24"/>
                <w:szCs w:val="24"/>
              </w:rPr>
              <w:t xml:space="preserve">Not in receipt of free meals </w:t>
            </w:r>
          </w:p>
        </w:tc>
        <w:tc>
          <w:tcPr>
            <w:tcW w:w="2130" w:type="dxa"/>
          </w:tcPr>
          <w:p w:rsidR="00CC7848" w:rsidRPr="00CC7848" w:rsidRDefault="00CC7848" w:rsidP="004D78D7">
            <w:pPr>
              <w:rPr>
                <w:rFonts w:ascii="Arial" w:hAnsi="Arial" w:cs="Arial"/>
                <w:sz w:val="24"/>
                <w:szCs w:val="24"/>
              </w:rPr>
            </w:pPr>
            <w:r w:rsidRPr="00CC7848">
              <w:rPr>
                <w:rFonts w:ascii="Arial" w:hAnsi="Arial" w:cs="Arial"/>
                <w:sz w:val="24"/>
                <w:szCs w:val="24"/>
              </w:rPr>
              <w:t>11</w:t>
            </w:r>
            <w:r w:rsidR="00C41E9E">
              <w:rPr>
                <w:rFonts w:ascii="Arial" w:hAnsi="Arial" w:cs="Arial"/>
                <w:sz w:val="24"/>
                <w:szCs w:val="24"/>
              </w:rPr>
              <w:t>,</w:t>
            </w:r>
            <w:r w:rsidRPr="00CC7848">
              <w:rPr>
                <w:rFonts w:ascii="Arial" w:hAnsi="Arial" w:cs="Arial"/>
                <w:sz w:val="24"/>
                <w:szCs w:val="24"/>
              </w:rPr>
              <w:t>753</w:t>
            </w:r>
          </w:p>
        </w:tc>
        <w:tc>
          <w:tcPr>
            <w:tcW w:w="2131" w:type="dxa"/>
          </w:tcPr>
          <w:p w:rsidR="00CC7848" w:rsidRPr="00CC7848" w:rsidRDefault="00CC7848" w:rsidP="004D78D7">
            <w:pPr>
              <w:rPr>
                <w:rFonts w:ascii="Arial" w:hAnsi="Arial" w:cs="Arial"/>
                <w:sz w:val="24"/>
                <w:szCs w:val="24"/>
              </w:rPr>
            </w:pPr>
            <w:r w:rsidRPr="00CC7848">
              <w:rPr>
                <w:rFonts w:ascii="Arial" w:hAnsi="Arial" w:cs="Arial"/>
                <w:sz w:val="24"/>
                <w:szCs w:val="24"/>
              </w:rPr>
              <w:t>11</w:t>
            </w:r>
            <w:r w:rsidR="00C41E9E">
              <w:rPr>
                <w:rFonts w:ascii="Arial" w:hAnsi="Arial" w:cs="Arial"/>
                <w:sz w:val="24"/>
                <w:szCs w:val="24"/>
              </w:rPr>
              <w:t>,</w:t>
            </w:r>
            <w:r w:rsidRPr="00CC7848">
              <w:rPr>
                <w:rFonts w:ascii="Arial" w:hAnsi="Arial" w:cs="Arial"/>
                <w:sz w:val="24"/>
                <w:szCs w:val="24"/>
              </w:rPr>
              <w:t>400</w:t>
            </w:r>
          </w:p>
        </w:tc>
        <w:tc>
          <w:tcPr>
            <w:tcW w:w="2131" w:type="dxa"/>
          </w:tcPr>
          <w:p w:rsidR="00CC7848" w:rsidRPr="00CC7848" w:rsidRDefault="00CC7848" w:rsidP="004D78D7">
            <w:pPr>
              <w:rPr>
                <w:rFonts w:ascii="Arial" w:hAnsi="Arial" w:cs="Arial"/>
                <w:sz w:val="24"/>
                <w:szCs w:val="24"/>
              </w:rPr>
            </w:pPr>
            <w:r w:rsidRPr="00CC7848">
              <w:rPr>
                <w:rFonts w:ascii="Arial" w:hAnsi="Arial" w:cs="Arial"/>
                <w:sz w:val="24"/>
                <w:szCs w:val="24"/>
              </w:rPr>
              <w:t>23</w:t>
            </w:r>
            <w:r w:rsidR="00C41E9E">
              <w:rPr>
                <w:rFonts w:ascii="Arial" w:hAnsi="Arial" w:cs="Arial"/>
                <w:sz w:val="24"/>
                <w:szCs w:val="24"/>
              </w:rPr>
              <w:t>,</w:t>
            </w:r>
            <w:r w:rsidRPr="00CC7848">
              <w:rPr>
                <w:rFonts w:ascii="Arial" w:hAnsi="Arial" w:cs="Arial"/>
                <w:sz w:val="24"/>
                <w:szCs w:val="24"/>
              </w:rPr>
              <w:t>153</w:t>
            </w:r>
          </w:p>
        </w:tc>
      </w:tr>
      <w:tr w:rsidR="00CC7848" w:rsidRPr="00CC7848" w:rsidTr="00CC7848">
        <w:tc>
          <w:tcPr>
            <w:tcW w:w="2130" w:type="dxa"/>
            <w:shd w:val="clear" w:color="auto" w:fill="E5B8B7" w:themeFill="accent2" w:themeFillTint="66"/>
          </w:tcPr>
          <w:p w:rsidR="00CC7848" w:rsidRPr="00CC7848" w:rsidRDefault="00CC7848" w:rsidP="004D78D7">
            <w:pPr>
              <w:rPr>
                <w:rFonts w:ascii="Arial" w:hAnsi="Arial" w:cs="Arial"/>
                <w:sz w:val="24"/>
                <w:szCs w:val="24"/>
              </w:rPr>
            </w:pPr>
            <w:r w:rsidRPr="00CC7848">
              <w:rPr>
                <w:rFonts w:ascii="Arial" w:hAnsi="Arial" w:cs="Arial"/>
                <w:sz w:val="24"/>
                <w:szCs w:val="24"/>
              </w:rPr>
              <w:t xml:space="preserve">Total </w:t>
            </w:r>
          </w:p>
        </w:tc>
        <w:tc>
          <w:tcPr>
            <w:tcW w:w="2130" w:type="dxa"/>
          </w:tcPr>
          <w:p w:rsidR="00CC7848" w:rsidRPr="00CC7848" w:rsidRDefault="00CC7848" w:rsidP="004D78D7">
            <w:pPr>
              <w:rPr>
                <w:rFonts w:ascii="Arial" w:hAnsi="Arial" w:cs="Arial"/>
                <w:sz w:val="24"/>
                <w:szCs w:val="24"/>
              </w:rPr>
            </w:pPr>
            <w:r w:rsidRPr="00CC7848">
              <w:rPr>
                <w:rFonts w:ascii="Arial" w:hAnsi="Arial" w:cs="Arial"/>
                <w:sz w:val="24"/>
                <w:szCs w:val="24"/>
              </w:rPr>
              <w:t>12</w:t>
            </w:r>
            <w:r w:rsidR="00C41E9E">
              <w:rPr>
                <w:rFonts w:ascii="Arial" w:hAnsi="Arial" w:cs="Arial"/>
                <w:sz w:val="24"/>
                <w:szCs w:val="24"/>
              </w:rPr>
              <w:t>,</w:t>
            </w:r>
            <w:r w:rsidRPr="00CC7848">
              <w:rPr>
                <w:rFonts w:ascii="Arial" w:hAnsi="Arial" w:cs="Arial"/>
                <w:sz w:val="24"/>
                <w:szCs w:val="24"/>
              </w:rPr>
              <w:t>742</w:t>
            </w:r>
          </w:p>
        </w:tc>
        <w:tc>
          <w:tcPr>
            <w:tcW w:w="2131" w:type="dxa"/>
          </w:tcPr>
          <w:p w:rsidR="00CC7848" w:rsidRPr="00CC7848" w:rsidRDefault="00CC7848" w:rsidP="004D78D7">
            <w:pPr>
              <w:rPr>
                <w:rFonts w:ascii="Arial" w:hAnsi="Arial" w:cs="Arial"/>
                <w:sz w:val="24"/>
                <w:szCs w:val="24"/>
              </w:rPr>
            </w:pPr>
            <w:r w:rsidRPr="00CC7848">
              <w:rPr>
                <w:rFonts w:ascii="Arial" w:hAnsi="Arial" w:cs="Arial"/>
                <w:sz w:val="24"/>
                <w:szCs w:val="24"/>
              </w:rPr>
              <w:t>12</w:t>
            </w:r>
            <w:r w:rsidR="00C41E9E">
              <w:rPr>
                <w:rFonts w:ascii="Arial" w:hAnsi="Arial" w:cs="Arial"/>
                <w:sz w:val="24"/>
                <w:szCs w:val="24"/>
              </w:rPr>
              <w:t>,</w:t>
            </w:r>
            <w:r w:rsidRPr="00CC7848">
              <w:rPr>
                <w:rFonts w:ascii="Arial" w:hAnsi="Arial" w:cs="Arial"/>
                <w:sz w:val="24"/>
                <w:szCs w:val="24"/>
              </w:rPr>
              <w:t>665</w:t>
            </w:r>
          </w:p>
        </w:tc>
        <w:tc>
          <w:tcPr>
            <w:tcW w:w="2131" w:type="dxa"/>
          </w:tcPr>
          <w:p w:rsidR="00CC7848" w:rsidRPr="00CC7848" w:rsidRDefault="00CC7848" w:rsidP="004D78D7">
            <w:pPr>
              <w:rPr>
                <w:rFonts w:ascii="Arial" w:hAnsi="Arial" w:cs="Arial"/>
                <w:sz w:val="24"/>
                <w:szCs w:val="24"/>
              </w:rPr>
            </w:pPr>
            <w:r w:rsidRPr="00CC7848">
              <w:rPr>
                <w:rFonts w:ascii="Arial" w:hAnsi="Arial" w:cs="Arial"/>
                <w:sz w:val="24"/>
                <w:szCs w:val="24"/>
              </w:rPr>
              <w:t>25</w:t>
            </w:r>
            <w:r w:rsidR="00C41E9E">
              <w:rPr>
                <w:rFonts w:ascii="Arial" w:hAnsi="Arial" w:cs="Arial"/>
                <w:sz w:val="24"/>
                <w:szCs w:val="24"/>
              </w:rPr>
              <w:t>,</w:t>
            </w:r>
            <w:r w:rsidRPr="00CC7848">
              <w:rPr>
                <w:rFonts w:ascii="Arial" w:hAnsi="Arial" w:cs="Arial"/>
                <w:sz w:val="24"/>
                <w:szCs w:val="24"/>
              </w:rPr>
              <w:t>407</w:t>
            </w:r>
          </w:p>
          <w:p w:rsidR="00CC7848" w:rsidRPr="00CC7848" w:rsidRDefault="00CC7848" w:rsidP="004D78D7">
            <w:pPr>
              <w:rPr>
                <w:rFonts w:ascii="Arial" w:hAnsi="Arial" w:cs="Arial"/>
                <w:sz w:val="24"/>
                <w:szCs w:val="24"/>
              </w:rPr>
            </w:pPr>
          </w:p>
        </w:tc>
      </w:tr>
    </w:tbl>
    <w:p w:rsidR="00CC7848" w:rsidRPr="00CC7848" w:rsidRDefault="00CC7848" w:rsidP="00CC7848">
      <w:pPr>
        <w:rPr>
          <w:rFonts w:ascii="Arial" w:hAnsi="Arial" w:cs="Arial"/>
          <w:sz w:val="24"/>
          <w:szCs w:val="24"/>
        </w:rPr>
      </w:pPr>
    </w:p>
    <w:p w:rsidR="00CC7848" w:rsidRPr="00CC7848" w:rsidRDefault="00FA1300" w:rsidP="00CC7848">
      <w:pPr>
        <w:rPr>
          <w:rFonts w:ascii="Arial" w:hAnsi="Arial" w:cs="Arial"/>
          <w:sz w:val="24"/>
          <w:szCs w:val="24"/>
        </w:rPr>
      </w:pPr>
      <w:r>
        <w:rPr>
          <w:rFonts w:ascii="Arial" w:hAnsi="Arial" w:cs="Arial"/>
          <w:sz w:val="24"/>
          <w:szCs w:val="24"/>
        </w:rPr>
        <w:t>It can be seen that 7.8</w:t>
      </w:r>
      <w:r w:rsidR="00CC7848" w:rsidRPr="00CC7848">
        <w:rPr>
          <w:rFonts w:ascii="Arial" w:hAnsi="Arial" w:cs="Arial"/>
          <w:sz w:val="24"/>
          <w:szCs w:val="24"/>
        </w:rPr>
        <w:t>% of male enrolments in 2009-</w:t>
      </w:r>
      <w:r w:rsidR="00C41E9E">
        <w:rPr>
          <w:rFonts w:ascii="Arial" w:hAnsi="Arial" w:cs="Arial"/>
          <w:sz w:val="24"/>
          <w:szCs w:val="24"/>
        </w:rPr>
        <w:t>20</w:t>
      </w:r>
      <w:r w:rsidR="00CC7848" w:rsidRPr="00CC7848">
        <w:rPr>
          <w:rFonts w:ascii="Arial" w:hAnsi="Arial" w:cs="Arial"/>
          <w:sz w:val="24"/>
          <w:szCs w:val="24"/>
        </w:rPr>
        <w:t xml:space="preserve">10 were by learners in receipt of free meals. </w:t>
      </w:r>
      <w:r>
        <w:rPr>
          <w:rFonts w:ascii="Arial" w:hAnsi="Arial" w:cs="Arial"/>
          <w:sz w:val="24"/>
          <w:szCs w:val="24"/>
        </w:rPr>
        <w:t>It can also be seen that 10.0% o</w:t>
      </w:r>
      <w:r w:rsidR="00CC7848" w:rsidRPr="00CC7848">
        <w:rPr>
          <w:rFonts w:ascii="Arial" w:hAnsi="Arial" w:cs="Arial"/>
          <w:sz w:val="24"/>
          <w:szCs w:val="24"/>
        </w:rPr>
        <w:t>f female enrolments in 2009-</w:t>
      </w:r>
      <w:r w:rsidR="00C41E9E">
        <w:rPr>
          <w:rFonts w:ascii="Arial" w:hAnsi="Arial" w:cs="Arial"/>
          <w:sz w:val="24"/>
          <w:szCs w:val="24"/>
        </w:rPr>
        <w:t>20</w:t>
      </w:r>
      <w:r w:rsidR="00CC7848" w:rsidRPr="00CC7848">
        <w:rPr>
          <w:rFonts w:ascii="Arial" w:hAnsi="Arial" w:cs="Arial"/>
          <w:sz w:val="24"/>
          <w:szCs w:val="24"/>
        </w:rPr>
        <w:t xml:space="preserve">10 were by learners in receipt of free meals. </w:t>
      </w:r>
    </w:p>
    <w:p w:rsidR="00CC7848" w:rsidRDefault="0046034A" w:rsidP="00CC7848">
      <w:pPr>
        <w:rPr>
          <w:rFonts w:ascii="Arial" w:hAnsi="Arial" w:cs="Arial"/>
          <w:sz w:val="24"/>
          <w:szCs w:val="24"/>
        </w:rPr>
      </w:pPr>
      <w:r>
        <w:rPr>
          <w:rFonts w:ascii="Arial" w:hAnsi="Arial" w:cs="Arial"/>
          <w:sz w:val="24"/>
          <w:szCs w:val="24"/>
        </w:rPr>
        <w:t>College-</w:t>
      </w:r>
      <w:r w:rsidR="00CC7848">
        <w:rPr>
          <w:rFonts w:ascii="Arial" w:hAnsi="Arial" w:cs="Arial"/>
          <w:sz w:val="24"/>
          <w:szCs w:val="24"/>
        </w:rPr>
        <w:t>wide</w:t>
      </w:r>
      <w:r w:rsidR="00C41E9E">
        <w:rPr>
          <w:rFonts w:ascii="Arial" w:hAnsi="Arial" w:cs="Arial"/>
          <w:sz w:val="24"/>
          <w:szCs w:val="24"/>
        </w:rPr>
        <w:t>,</w:t>
      </w:r>
      <w:r w:rsidR="00CC7848">
        <w:rPr>
          <w:rFonts w:ascii="Arial" w:hAnsi="Arial" w:cs="Arial"/>
          <w:sz w:val="24"/>
          <w:szCs w:val="24"/>
        </w:rPr>
        <w:t xml:space="preserve"> in 2009-2010, 8.9% of all enrolments were attributed to learners in receipt of free meals. </w:t>
      </w:r>
    </w:p>
    <w:p w:rsidR="00CC7848" w:rsidRDefault="00CC7848" w:rsidP="00CC7848">
      <w:pPr>
        <w:rPr>
          <w:rFonts w:ascii="Arial" w:hAnsi="Arial" w:cs="Arial"/>
          <w:sz w:val="24"/>
          <w:szCs w:val="24"/>
        </w:rPr>
      </w:pPr>
      <w:r>
        <w:rPr>
          <w:rFonts w:ascii="Arial" w:hAnsi="Arial" w:cs="Arial"/>
          <w:sz w:val="24"/>
          <w:szCs w:val="24"/>
        </w:rPr>
        <w:t xml:space="preserve">The table below shows the percentage of learners in receipt of free meals in each </w:t>
      </w:r>
      <w:r w:rsidR="00C41E9E">
        <w:rPr>
          <w:rFonts w:ascii="Arial" w:hAnsi="Arial" w:cs="Arial"/>
          <w:sz w:val="24"/>
          <w:szCs w:val="24"/>
        </w:rPr>
        <w:t>S</w:t>
      </w:r>
      <w:r>
        <w:rPr>
          <w:rFonts w:ascii="Arial" w:hAnsi="Arial" w:cs="Arial"/>
          <w:sz w:val="24"/>
          <w:szCs w:val="24"/>
        </w:rPr>
        <w:t>chool in 2009-2010:</w:t>
      </w:r>
    </w:p>
    <w:tbl>
      <w:tblPr>
        <w:tblStyle w:val="TableGrid"/>
        <w:tblW w:w="0" w:type="auto"/>
        <w:tblLook w:val="04A0"/>
      </w:tblPr>
      <w:tblGrid>
        <w:gridCol w:w="7196"/>
        <w:gridCol w:w="2046"/>
      </w:tblGrid>
      <w:tr w:rsidR="00A4649A" w:rsidTr="00A4649A">
        <w:tc>
          <w:tcPr>
            <w:tcW w:w="7196" w:type="dxa"/>
            <w:shd w:val="clear" w:color="auto" w:fill="E5B8B7" w:themeFill="accent2" w:themeFillTint="66"/>
          </w:tcPr>
          <w:p w:rsidR="00A4649A" w:rsidRDefault="00A4649A" w:rsidP="00CE45FB">
            <w:pPr>
              <w:jc w:val="center"/>
              <w:rPr>
                <w:rFonts w:ascii="Arial" w:hAnsi="Arial" w:cs="Arial"/>
                <w:sz w:val="24"/>
                <w:szCs w:val="24"/>
              </w:rPr>
            </w:pPr>
            <w:r>
              <w:rPr>
                <w:rFonts w:ascii="Arial" w:hAnsi="Arial" w:cs="Arial"/>
                <w:sz w:val="24"/>
                <w:szCs w:val="24"/>
              </w:rPr>
              <w:t>School</w:t>
            </w:r>
          </w:p>
        </w:tc>
        <w:tc>
          <w:tcPr>
            <w:tcW w:w="2046" w:type="dxa"/>
            <w:shd w:val="clear" w:color="auto" w:fill="E5B8B7" w:themeFill="accent2" w:themeFillTint="66"/>
          </w:tcPr>
          <w:p w:rsidR="00A4649A" w:rsidRDefault="00A4649A" w:rsidP="00A4649A">
            <w:pPr>
              <w:jc w:val="center"/>
              <w:rPr>
                <w:rFonts w:ascii="Arial" w:hAnsi="Arial" w:cs="Arial"/>
                <w:sz w:val="24"/>
                <w:szCs w:val="24"/>
              </w:rPr>
            </w:pPr>
            <w:r>
              <w:rPr>
                <w:rFonts w:ascii="Arial" w:hAnsi="Arial" w:cs="Arial"/>
                <w:sz w:val="24"/>
                <w:szCs w:val="24"/>
              </w:rPr>
              <w:t>% of learners in receipt of free meals</w:t>
            </w:r>
          </w:p>
        </w:tc>
      </w:tr>
      <w:tr w:rsidR="00A4649A" w:rsidTr="00A4649A">
        <w:tc>
          <w:tcPr>
            <w:tcW w:w="7196" w:type="dxa"/>
          </w:tcPr>
          <w:p w:rsidR="00A4649A" w:rsidRDefault="00A4649A" w:rsidP="00CE45FB">
            <w:pPr>
              <w:rPr>
                <w:rFonts w:ascii="Arial" w:hAnsi="Arial" w:cs="Arial"/>
                <w:sz w:val="24"/>
                <w:szCs w:val="24"/>
              </w:rPr>
            </w:pPr>
            <w:r>
              <w:rPr>
                <w:rFonts w:ascii="Arial" w:hAnsi="Arial" w:cs="Arial"/>
                <w:sz w:val="24"/>
                <w:szCs w:val="24"/>
              </w:rPr>
              <w:t>ACE – Adult &amp; Community Education</w:t>
            </w:r>
          </w:p>
          <w:p w:rsidR="00A4649A" w:rsidRDefault="00A4649A" w:rsidP="00A4649A">
            <w:pPr>
              <w:rPr>
                <w:rFonts w:ascii="Arial" w:hAnsi="Arial" w:cs="Arial"/>
                <w:sz w:val="24"/>
                <w:szCs w:val="24"/>
              </w:rPr>
            </w:pPr>
          </w:p>
        </w:tc>
        <w:tc>
          <w:tcPr>
            <w:tcW w:w="2046" w:type="dxa"/>
          </w:tcPr>
          <w:p w:rsidR="00A4649A" w:rsidRDefault="00A4649A" w:rsidP="00A4649A">
            <w:pPr>
              <w:jc w:val="center"/>
              <w:rPr>
                <w:rFonts w:ascii="Arial" w:hAnsi="Arial" w:cs="Arial"/>
                <w:sz w:val="24"/>
                <w:szCs w:val="24"/>
              </w:rPr>
            </w:pPr>
            <w:r>
              <w:rPr>
                <w:rFonts w:ascii="Arial" w:hAnsi="Arial" w:cs="Arial"/>
                <w:sz w:val="24"/>
                <w:szCs w:val="24"/>
              </w:rPr>
              <w:t>3.6%</w:t>
            </w:r>
          </w:p>
        </w:tc>
      </w:tr>
      <w:tr w:rsidR="00A4649A" w:rsidTr="00A4649A">
        <w:tc>
          <w:tcPr>
            <w:tcW w:w="7196" w:type="dxa"/>
          </w:tcPr>
          <w:p w:rsidR="00A4649A" w:rsidRDefault="00A4649A" w:rsidP="00A4649A">
            <w:pPr>
              <w:rPr>
                <w:rFonts w:ascii="Arial" w:hAnsi="Arial" w:cs="Arial"/>
                <w:sz w:val="24"/>
                <w:szCs w:val="24"/>
              </w:rPr>
            </w:pPr>
            <w:r>
              <w:rPr>
                <w:rFonts w:ascii="Arial" w:hAnsi="Arial" w:cs="Arial"/>
                <w:sz w:val="24"/>
                <w:szCs w:val="24"/>
              </w:rPr>
              <w:t>AE – Adult Education Franchise</w:t>
            </w:r>
          </w:p>
          <w:p w:rsidR="00A4649A" w:rsidRDefault="00A4649A" w:rsidP="00A4649A">
            <w:pPr>
              <w:rPr>
                <w:rFonts w:ascii="Arial" w:hAnsi="Arial" w:cs="Arial"/>
                <w:sz w:val="24"/>
                <w:szCs w:val="24"/>
              </w:rPr>
            </w:pPr>
          </w:p>
        </w:tc>
        <w:tc>
          <w:tcPr>
            <w:tcW w:w="2046" w:type="dxa"/>
          </w:tcPr>
          <w:p w:rsidR="00A4649A" w:rsidRDefault="00A4649A" w:rsidP="00A4649A">
            <w:pPr>
              <w:jc w:val="center"/>
              <w:rPr>
                <w:rFonts w:ascii="Arial" w:hAnsi="Arial" w:cs="Arial"/>
                <w:sz w:val="24"/>
                <w:szCs w:val="24"/>
              </w:rPr>
            </w:pPr>
            <w:r>
              <w:rPr>
                <w:rFonts w:ascii="Arial" w:hAnsi="Arial" w:cs="Arial"/>
                <w:sz w:val="24"/>
                <w:szCs w:val="24"/>
              </w:rPr>
              <w:t>0.2%</w:t>
            </w:r>
          </w:p>
        </w:tc>
      </w:tr>
      <w:tr w:rsidR="00A4649A" w:rsidTr="00A4649A">
        <w:tc>
          <w:tcPr>
            <w:tcW w:w="7196" w:type="dxa"/>
          </w:tcPr>
          <w:p w:rsidR="00A4649A" w:rsidRDefault="00A4649A" w:rsidP="00A4649A">
            <w:pPr>
              <w:rPr>
                <w:rFonts w:ascii="Arial" w:hAnsi="Arial" w:cs="Arial"/>
                <w:sz w:val="24"/>
                <w:szCs w:val="24"/>
              </w:rPr>
            </w:pPr>
            <w:r>
              <w:rPr>
                <w:rFonts w:ascii="Arial" w:hAnsi="Arial" w:cs="Arial"/>
                <w:sz w:val="24"/>
                <w:szCs w:val="24"/>
              </w:rPr>
              <w:t>BES – School of Building &amp; Engineering Services</w:t>
            </w:r>
          </w:p>
          <w:p w:rsidR="00A4649A" w:rsidRDefault="00A4649A" w:rsidP="00A4649A">
            <w:pPr>
              <w:rPr>
                <w:rFonts w:ascii="Arial" w:hAnsi="Arial" w:cs="Arial"/>
                <w:sz w:val="24"/>
                <w:szCs w:val="24"/>
              </w:rPr>
            </w:pPr>
          </w:p>
        </w:tc>
        <w:tc>
          <w:tcPr>
            <w:tcW w:w="2046" w:type="dxa"/>
          </w:tcPr>
          <w:p w:rsidR="00A4649A" w:rsidRDefault="00A4649A" w:rsidP="00A4649A">
            <w:pPr>
              <w:jc w:val="center"/>
              <w:rPr>
                <w:rFonts w:ascii="Arial" w:hAnsi="Arial" w:cs="Arial"/>
                <w:sz w:val="24"/>
                <w:szCs w:val="24"/>
              </w:rPr>
            </w:pPr>
            <w:r>
              <w:rPr>
                <w:rFonts w:ascii="Arial" w:hAnsi="Arial" w:cs="Arial"/>
                <w:sz w:val="24"/>
                <w:szCs w:val="24"/>
              </w:rPr>
              <w:t>2.6%</w:t>
            </w:r>
          </w:p>
        </w:tc>
      </w:tr>
      <w:tr w:rsidR="00A4649A" w:rsidTr="00A4649A">
        <w:tc>
          <w:tcPr>
            <w:tcW w:w="7196" w:type="dxa"/>
          </w:tcPr>
          <w:p w:rsidR="00A4649A" w:rsidRDefault="00A4649A" w:rsidP="00A4649A">
            <w:pPr>
              <w:rPr>
                <w:rFonts w:ascii="Arial" w:hAnsi="Arial" w:cs="Arial"/>
                <w:sz w:val="24"/>
                <w:szCs w:val="24"/>
              </w:rPr>
            </w:pPr>
            <w:r>
              <w:rPr>
                <w:rFonts w:ascii="Arial" w:hAnsi="Arial" w:cs="Arial"/>
                <w:sz w:val="24"/>
                <w:szCs w:val="24"/>
              </w:rPr>
              <w:t>BTH- School of Business, Tourism &amp; Hospitality</w:t>
            </w:r>
          </w:p>
          <w:p w:rsidR="00A4649A" w:rsidRDefault="00A4649A" w:rsidP="00A4649A">
            <w:pPr>
              <w:rPr>
                <w:rFonts w:ascii="Arial" w:hAnsi="Arial" w:cs="Arial"/>
                <w:sz w:val="24"/>
                <w:szCs w:val="24"/>
              </w:rPr>
            </w:pPr>
          </w:p>
        </w:tc>
        <w:tc>
          <w:tcPr>
            <w:tcW w:w="2046" w:type="dxa"/>
          </w:tcPr>
          <w:p w:rsidR="00A4649A" w:rsidRDefault="00A4649A" w:rsidP="00A4649A">
            <w:pPr>
              <w:jc w:val="center"/>
              <w:rPr>
                <w:rFonts w:ascii="Arial" w:hAnsi="Arial" w:cs="Arial"/>
                <w:sz w:val="24"/>
                <w:szCs w:val="24"/>
              </w:rPr>
            </w:pPr>
            <w:r>
              <w:rPr>
                <w:rFonts w:ascii="Arial" w:hAnsi="Arial" w:cs="Arial"/>
                <w:sz w:val="24"/>
                <w:szCs w:val="24"/>
              </w:rPr>
              <w:t>15.2%</w:t>
            </w:r>
          </w:p>
        </w:tc>
      </w:tr>
      <w:tr w:rsidR="00A4649A" w:rsidTr="00A4649A">
        <w:tc>
          <w:tcPr>
            <w:tcW w:w="7196" w:type="dxa"/>
          </w:tcPr>
          <w:p w:rsidR="00A4649A" w:rsidRDefault="00A4649A" w:rsidP="00A4649A">
            <w:pPr>
              <w:rPr>
                <w:rFonts w:ascii="Arial" w:hAnsi="Arial" w:cs="Arial"/>
                <w:sz w:val="24"/>
                <w:szCs w:val="24"/>
              </w:rPr>
            </w:pPr>
            <w:r>
              <w:rPr>
                <w:rFonts w:ascii="Arial" w:hAnsi="Arial" w:cs="Arial"/>
                <w:sz w:val="24"/>
                <w:szCs w:val="24"/>
              </w:rPr>
              <w:t>CBE – School of Construction &amp; Built Environment</w:t>
            </w:r>
          </w:p>
          <w:p w:rsidR="00A4649A" w:rsidRDefault="00A4649A" w:rsidP="00A4649A">
            <w:pPr>
              <w:rPr>
                <w:rFonts w:ascii="Arial" w:hAnsi="Arial" w:cs="Arial"/>
                <w:sz w:val="24"/>
                <w:szCs w:val="24"/>
              </w:rPr>
            </w:pPr>
          </w:p>
        </w:tc>
        <w:tc>
          <w:tcPr>
            <w:tcW w:w="2046" w:type="dxa"/>
          </w:tcPr>
          <w:p w:rsidR="00A4649A" w:rsidRDefault="00A4649A" w:rsidP="00A4649A">
            <w:pPr>
              <w:jc w:val="center"/>
              <w:rPr>
                <w:rFonts w:ascii="Arial" w:hAnsi="Arial" w:cs="Arial"/>
                <w:sz w:val="24"/>
                <w:szCs w:val="24"/>
              </w:rPr>
            </w:pPr>
            <w:r>
              <w:rPr>
                <w:rFonts w:ascii="Arial" w:hAnsi="Arial" w:cs="Arial"/>
                <w:sz w:val="24"/>
                <w:szCs w:val="24"/>
              </w:rPr>
              <w:t>6.2%</w:t>
            </w:r>
          </w:p>
        </w:tc>
      </w:tr>
      <w:tr w:rsidR="00A4649A" w:rsidTr="00A4649A">
        <w:tc>
          <w:tcPr>
            <w:tcW w:w="7196" w:type="dxa"/>
          </w:tcPr>
          <w:p w:rsidR="00A4649A" w:rsidRDefault="00A4649A" w:rsidP="00A4649A">
            <w:pPr>
              <w:rPr>
                <w:rFonts w:ascii="Arial" w:hAnsi="Arial" w:cs="Arial"/>
                <w:sz w:val="24"/>
                <w:szCs w:val="24"/>
              </w:rPr>
            </w:pPr>
            <w:r>
              <w:rPr>
                <w:rFonts w:ascii="Arial" w:hAnsi="Arial" w:cs="Arial"/>
                <w:sz w:val="24"/>
                <w:szCs w:val="24"/>
              </w:rPr>
              <w:t>CIT – School of Computing &amp; Information Technology</w:t>
            </w:r>
          </w:p>
          <w:p w:rsidR="00A4649A" w:rsidRDefault="00A4649A" w:rsidP="00A4649A">
            <w:pPr>
              <w:rPr>
                <w:rFonts w:ascii="Arial" w:hAnsi="Arial" w:cs="Arial"/>
                <w:sz w:val="24"/>
                <w:szCs w:val="24"/>
              </w:rPr>
            </w:pPr>
          </w:p>
        </w:tc>
        <w:tc>
          <w:tcPr>
            <w:tcW w:w="2046" w:type="dxa"/>
          </w:tcPr>
          <w:p w:rsidR="00A4649A" w:rsidRDefault="00A4649A" w:rsidP="00A4649A">
            <w:pPr>
              <w:jc w:val="center"/>
              <w:rPr>
                <w:rFonts w:ascii="Arial" w:hAnsi="Arial" w:cs="Arial"/>
                <w:sz w:val="24"/>
                <w:szCs w:val="24"/>
              </w:rPr>
            </w:pPr>
            <w:r>
              <w:rPr>
                <w:rFonts w:ascii="Arial" w:hAnsi="Arial" w:cs="Arial"/>
                <w:sz w:val="24"/>
                <w:szCs w:val="24"/>
              </w:rPr>
              <w:t>8.2%</w:t>
            </w:r>
          </w:p>
        </w:tc>
      </w:tr>
      <w:tr w:rsidR="00A4649A" w:rsidTr="00A4649A">
        <w:tc>
          <w:tcPr>
            <w:tcW w:w="7196" w:type="dxa"/>
          </w:tcPr>
          <w:p w:rsidR="00A4649A" w:rsidRDefault="00A4649A" w:rsidP="00A4649A">
            <w:pPr>
              <w:rPr>
                <w:rFonts w:ascii="Arial" w:hAnsi="Arial" w:cs="Arial"/>
                <w:sz w:val="24"/>
                <w:szCs w:val="24"/>
              </w:rPr>
            </w:pPr>
            <w:r>
              <w:rPr>
                <w:rFonts w:ascii="Arial" w:hAnsi="Arial" w:cs="Arial"/>
                <w:sz w:val="24"/>
                <w:szCs w:val="24"/>
              </w:rPr>
              <w:t>CVP- School of Creative, Visual &amp; Performing Arts</w:t>
            </w:r>
          </w:p>
          <w:p w:rsidR="00A4649A" w:rsidRDefault="00A4649A" w:rsidP="00A4649A">
            <w:pPr>
              <w:rPr>
                <w:rFonts w:ascii="Arial" w:hAnsi="Arial" w:cs="Arial"/>
                <w:sz w:val="24"/>
                <w:szCs w:val="24"/>
              </w:rPr>
            </w:pPr>
          </w:p>
        </w:tc>
        <w:tc>
          <w:tcPr>
            <w:tcW w:w="2046" w:type="dxa"/>
          </w:tcPr>
          <w:p w:rsidR="00A4649A" w:rsidRDefault="00A4649A" w:rsidP="00A4649A">
            <w:pPr>
              <w:jc w:val="center"/>
              <w:rPr>
                <w:rFonts w:ascii="Arial" w:hAnsi="Arial" w:cs="Arial"/>
                <w:sz w:val="24"/>
                <w:szCs w:val="24"/>
              </w:rPr>
            </w:pPr>
            <w:r>
              <w:rPr>
                <w:rFonts w:ascii="Arial" w:hAnsi="Arial" w:cs="Arial"/>
                <w:sz w:val="24"/>
                <w:szCs w:val="24"/>
              </w:rPr>
              <w:t>12.7%</w:t>
            </w:r>
          </w:p>
        </w:tc>
      </w:tr>
      <w:tr w:rsidR="00A4649A" w:rsidTr="00A4649A">
        <w:tc>
          <w:tcPr>
            <w:tcW w:w="7196" w:type="dxa"/>
          </w:tcPr>
          <w:p w:rsidR="00A4649A" w:rsidRDefault="00A4649A" w:rsidP="00A4649A">
            <w:pPr>
              <w:rPr>
                <w:rFonts w:ascii="Arial" w:hAnsi="Arial" w:cs="Arial"/>
                <w:sz w:val="24"/>
                <w:szCs w:val="24"/>
              </w:rPr>
            </w:pPr>
            <w:r>
              <w:rPr>
                <w:rFonts w:ascii="Arial" w:hAnsi="Arial" w:cs="Arial"/>
                <w:sz w:val="24"/>
                <w:szCs w:val="24"/>
              </w:rPr>
              <w:t>ENG – School of Engineering</w:t>
            </w:r>
          </w:p>
          <w:p w:rsidR="00A4649A" w:rsidRDefault="00A4649A" w:rsidP="00A4649A">
            <w:pPr>
              <w:rPr>
                <w:rFonts w:ascii="Arial" w:hAnsi="Arial" w:cs="Arial"/>
                <w:sz w:val="24"/>
                <w:szCs w:val="24"/>
              </w:rPr>
            </w:pPr>
          </w:p>
        </w:tc>
        <w:tc>
          <w:tcPr>
            <w:tcW w:w="2046" w:type="dxa"/>
          </w:tcPr>
          <w:p w:rsidR="00A4649A" w:rsidRDefault="00A4649A" w:rsidP="00A4649A">
            <w:pPr>
              <w:jc w:val="center"/>
              <w:rPr>
                <w:rFonts w:ascii="Arial" w:hAnsi="Arial" w:cs="Arial"/>
                <w:sz w:val="24"/>
                <w:szCs w:val="24"/>
              </w:rPr>
            </w:pPr>
            <w:r>
              <w:rPr>
                <w:rFonts w:ascii="Arial" w:hAnsi="Arial" w:cs="Arial"/>
                <w:sz w:val="24"/>
                <w:szCs w:val="24"/>
              </w:rPr>
              <w:t>8.9%</w:t>
            </w:r>
          </w:p>
        </w:tc>
      </w:tr>
      <w:tr w:rsidR="00A4649A" w:rsidTr="00A4649A">
        <w:tc>
          <w:tcPr>
            <w:tcW w:w="7196" w:type="dxa"/>
          </w:tcPr>
          <w:p w:rsidR="00A4649A" w:rsidRDefault="00CE45FB" w:rsidP="00A4649A">
            <w:pPr>
              <w:rPr>
                <w:rFonts w:ascii="Arial" w:hAnsi="Arial" w:cs="Arial"/>
                <w:sz w:val="24"/>
                <w:szCs w:val="24"/>
              </w:rPr>
            </w:pPr>
            <w:r>
              <w:rPr>
                <w:rFonts w:ascii="Arial" w:hAnsi="Arial" w:cs="Arial"/>
                <w:sz w:val="24"/>
                <w:szCs w:val="24"/>
              </w:rPr>
              <w:t>Fac</w:t>
            </w:r>
            <w:r w:rsidR="00A4649A">
              <w:rPr>
                <w:rFonts w:ascii="Arial" w:hAnsi="Arial" w:cs="Arial"/>
                <w:sz w:val="24"/>
                <w:szCs w:val="24"/>
              </w:rPr>
              <w:t>6Form – Faculty of Sixth Form</w:t>
            </w:r>
          </w:p>
          <w:p w:rsidR="00A4649A" w:rsidRDefault="00A4649A" w:rsidP="00A4649A">
            <w:pPr>
              <w:rPr>
                <w:rFonts w:ascii="Arial" w:hAnsi="Arial" w:cs="Arial"/>
                <w:sz w:val="24"/>
                <w:szCs w:val="24"/>
              </w:rPr>
            </w:pPr>
          </w:p>
        </w:tc>
        <w:tc>
          <w:tcPr>
            <w:tcW w:w="2046" w:type="dxa"/>
          </w:tcPr>
          <w:p w:rsidR="00A4649A" w:rsidRDefault="00A4649A" w:rsidP="00A4649A">
            <w:pPr>
              <w:jc w:val="center"/>
              <w:rPr>
                <w:rFonts w:ascii="Arial" w:hAnsi="Arial" w:cs="Arial"/>
                <w:sz w:val="24"/>
                <w:szCs w:val="24"/>
              </w:rPr>
            </w:pPr>
            <w:r>
              <w:rPr>
                <w:rFonts w:ascii="Arial" w:hAnsi="Arial" w:cs="Arial"/>
                <w:sz w:val="24"/>
                <w:szCs w:val="24"/>
              </w:rPr>
              <w:t>5.7%</w:t>
            </w:r>
          </w:p>
        </w:tc>
      </w:tr>
      <w:tr w:rsidR="00A4649A" w:rsidTr="00A4649A">
        <w:tc>
          <w:tcPr>
            <w:tcW w:w="7196" w:type="dxa"/>
          </w:tcPr>
          <w:p w:rsidR="00A4649A" w:rsidRDefault="00A4649A" w:rsidP="00A4649A">
            <w:pPr>
              <w:rPr>
                <w:rFonts w:ascii="Arial" w:hAnsi="Arial" w:cs="Arial"/>
                <w:sz w:val="24"/>
                <w:szCs w:val="24"/>
              </w:rPr>
            </w:pPr>
            <w:r>
              <w:rPr>
                <w:rFonts w:ascii="Arial" w:hAnsi="Arial" w:cs="Arial"/>
                <w:sz w:val="24"/>
                <w:szCs w:val="24"/>
              </w:rPr>
              <w:t>HAT – School of Horticulture, Hairdressing &amp; Applied Therapies</w:t>
            </w:r>
          </w:p>
          <w:p w:rsidR="00A4649A" w:rsidRDefault="00A4649A" w:rsidP="00A4649A">
            <w:pPr>
              <w:rPr>
                <w:rFonts w:ascii="Arial" w:hAnsi="Arial" w:cs="Arial"/>
                <w:sz w:val="24"/>
                <w:szCs w:val="24"/>
              </w:rPr>
            </w:pPr>
          </w:p>
        </w:tc>
        <w:tc>
          <w:tcPr>
            <w:tcW w:w="2046" w:type="dxa"/>
          </w:tcPr>
          <w:p w:rsidR="00A4649A" w:rsidRDefault="00A4649A" w:rsidP="00A4649A">
            <w:pPr>
              <w:jc w:val="center"/>
              <w:rPr>
                <w:rFonts w:ascii="Arial" w:hAnsi="Arial" w:cs="Arial"/>
                <w:sz w:val="24"/>
                <w:szCs w:val="24"/>
              </w:rPr>
            </w:pPr>
            <w:r>
              <w:rPr>
                <w:rFonts w:ascii="Arial" w:hAnsi="Arial" w:cs="Arial"/>
                <w:sz w:val="24"/>
                <w:szCs w:val="24"/>
              </w:rPr>
              <w:t>19.8%</w:t>
            </w:r>
          </w:p>
        </w:tc>
      </w:tr>
      <w:tr w:rsidR="00A4649A" w:rsidTr="00A4649A">
        <w:tc>
          <w:tcPr>
            <w:tcW w:w="7196" w:type="dxa"/>
          </w:tcPr>
          <w:p w:rsidR="00A4649A" w:rsidRDefault="00CE45FB" w:rsidP="00A4649A">
            <w:pPr>
              <w:rPr>
                <w:rFonts w:ascii="Arial" w:hAnsi="Arial" w:cs="Arial"/>
                <w:sz w:val="24"/>
                <w:szCs w:val="24"/>
              </w:rPr>
            </w:pPr>
            <w:r>
              <w:rPr>
                <w:rFonts w:ascii="Arial" w:hAnsi="Arial" w:cs="Arial"/>
                <w:sz w:val="24"/>
                <w:szCs w:val="24"/>
              </w:rPr>
              <w:t>HSC – School of Health</w:t>
            </w:r>
            <w:r w:rsidR="00A4649A">
              <w:rPr>
                <w:rFonts w:ascii="Arial" w:hAnsi="Arial" w:cs="Arial"/>
                <w:sz w:val="24"/>
                <w:szCs w:val="24"/>
              </w:rPr>
              <w:t>, Social &amp; Childcare</w:t>
            </w:r>
          </w:p>
          <w:p w:rsidR="00A4649A" w:rsidRDefault="00A4649A" w:rsidP="00A4649A">
            <w:pPr>
              <w:rPr>
                <w:rFonts w:ascii="Arial" w:hAnsi="Arial" w:cs="Arial"/>
                <w:sz w:val="24"/>
                <w:szCs w:val="24"/>
              </w:rPr>
            </w:pPr>
          </w:p>
        </w:tc>
        <w:tc>
          <w:tcPr>
            <w:tcW w:w="2046" w:type="dxa"/>
          </w:tcPr>
          <w:p w:rsidR="00A4649A" w:rsidRDefault="00A4649A" w:rsidP="00A4649A">
            <w:pPr>
              <w:jc w:val="center"/>
              <w:rPr>
                <w:rFonts w:ascii="Arial" w:hAnsi="Arial" w:cs="Arial"/>
                <w:sz w:val="24"/>
                <w:szCs w:val="24"/>
              </w:rPr>
            </w:pPr>
            <w:r>
              <w:rPr>
                <w:rFonts w:ascii="Arial" w:hAnsi="Arial" w:cs="Arial"/>
                <w:sz w:val="24"/>
                <w:szCs w:val="24"/>
              </w:rPr>
              <w:t>10.8%</w:t>
            </w:r>
          </w:p>
        </w:tc>
      </w:tr>
      <w:tr w:rsidR="00A4649A" w:rsidTr="00A4649A">
        <w:tc>
          <w:tcPr>
            <w:tcW w:w="7196" w:type="dxa"/>
          </w:tcPr>
          <w:p w:rsidR="00A4649A" w:rsidRDefault="00A4649A" w:rsidP="00A4649A">
            <w:pPr>
              <w:rPr>
                <w:rFonts w:ascii="Arial" w:hAnsi="Arial" w:cs="Arial"/>
                <w:sz w:val="24"/>
                <w:szCs w:val="24"/>
              </w:rPr>
            </w:pPr>
            <w:r>
              <w:rPr>
                <w:rFonts w:ascii="Arial" w:hAnsi="Arial" w:cs="Arial"/>
                <w:sz w:val="24"/>
                <w:szCs w:val="24"/>
              </w:rPr>
              <w:t>IBC – Industry &amp; Business Centre</w:t>
            </w:r>
          </w:p>
          <w:p w:rsidR="00A4649A" w:rsidRDefault="00A4649A" w:rsidP="00A4649A">
            <w:pPr>
              <w:rPr>
                <w:rFonts w:ascii="Arial" w:hAnsi="Arial" w:cs="Arial"/>
                <w:sz w:val="24"/>
                <w:szCs w:val="24"/>
              </w:rPr>
            </w:pPr>
          </w:p>
        </w:tc>
        <w:tc>
          <w:tcPr>
            <w:tcW w:w="2046" w:type="dxa"/>
          </w:tcPr>
          <w:p w:rsidR="00A4649A" w:rsidRDefault="00A4649A" w:rsidP="00A4649A">
            <w:pPr>
              <w:jc w:val="center"/>
              <w:rPr>
                <w:rFonts w:ascii="Arial" w:hAnsi="Arial" w:cs="Arial"/>
                <w:sz w:val="24"/>
                <w:szCs w:val="24"/>
              </w:rPr>
            </w:pPr>
            <w:r>
              <w:rPr>
                <w:rFonts w:ascii="Arial" w:hAnsi="Arial" w:cs="Arial"/>
                <w:sz w:val="24"/>
                <w:szCs w:val="24"/>
              </w:rPr>
              <w:t>0.3%</w:t>
            </w:r>
          </w:p>
        </w:tc>
      </w:tr>
      <w:tr w:rsidR="00A4649A" w:rsidTr="00A4649A">
        <w:tc>
          <w:tcPr>
            <w:tcW w:w="7196" w:type="dxa"/>
          </w:tcPr>
          <w:p w:rsidR="00A4649A" w:rsidRDefault="00A4649A" w:rsidP="00A4649A">
            <w:pPr>
              <w:rPr>
                <w:rFonts w:ascii="Arial" w:hAnsi="Arial" w:cs="Arial"/>
                <w:sz w:val="24"/>
                <w:szCs w:val="24"/>
              </w:rPr>
            </w:pPr>
            <w:r>
              <w:rPr>
                <w:rFonts w:ascii="Arial" w:hAnsi="Arial" w:cs="Arial"/>
                <w:sz w:val="24"/>
                <w:szCs w:val="24"/>
              </w:rPr>
              <w:t>IES – School of Inclusive &amp; Essential Skills</w:t>
            </w:r>
          </w:p>
          <w:p w:rsidR="00A4649A" w:rsidRDefault="00A4649A" w:rsidP="00A4649A">
            <w:pPr>
              <w:rPr>
                <w:rFonts w:ascii="Arial" w:hAnsi="Arial" w:cs="Arial"/>
                <w:sz w:val="24"/>
                <w:szCs w:val="24"/>
              </w:rPr>
            </w:pPr>
          </w:p>
        </w:tc>
        <w:tc>
          <w:tcPr>
            <w:tcW w:w="2046" w:type="dxa"/>
          </w:tcPr>
          <w:p w:rsidR="00A4649A" w:rsidRDefault="00A4649A" w:rsidP="00A4649A">
            <w:pPr>
              <w:jc w:val="center"/>
              <w:rPr>
                <w:rFonts w:ascii="Arial" w:hAnsi="Arial" w:cs="Arial"/>
                <w:sz w:val="24"/>
                <w:szCs w:val="24"/>
              </w:rPr>
            </w:pPr>
            <w:r>
              <w:rPr>
                <w:rFonts w:ascii="Arial" w:hAnsi="Arial" w:cs="Arial"/>
                <w:sz w:val="24"/>
                <w:szCs w:val="24"/>
              </w:rPr>
              <w:t>4.8%</w:t>
            </w:r>
          </w:p>
        </w:tc>
      </w:tr>
      <w:tr w:rsidR="00A4649A" w:rsidTr="00A4649A">
        <w:tc>
          <w:tcPr>
            <w:tcW w:w="7196" w:type="dxa"/>
          </w:tcPr>
          <w:p w:rsidR="00A4649A" w:rsidRDefault="00A4649A" w:rsidP="00A4649A">
            <w:pPr>
              <w:rPr>
                <w:rFonts w:ascii="Arial" w:hAnsi="Arial" w:cs="Arial"/>
                <w:sz w:val="24"/>
                <w:szCs w:val="24"/>
              </w:rPr>
            </w:pPr>
            <w:r>
              <w:rPr>
                <w:rFonts w:ascii="Arial" w:hAnsi="Arial" w:cs="Arial"/>
                <w:sz w:val="24"/>
                <w:szCs w:val="24"/>
              </w:rPr>
              <w:t>MAS – School of Mathematics &amp; Science</w:t>
            </w:r>
          </w:p>
          <w:p w:rsidR="00A4649A" w:rsidRDefault="00A4649A" w:rsidP="00A4649A">
            <w:pPr>
              <w:rPr>
                <w:rFonts w:ascii="Arial" w:hAnsi="Arial" w:cs="Arial"/>
                <w:sz w:val="24"/>
                <w:szCs w:val="24"/>
              </w:rPr>
            </w:pPr>
          </w:p>
        </w:tc>
        <w:tc>
          <w:tcPr>
            <w:tcW w:w="2046" w:type="dxa"/>
          </w:tcPr>
          <w:p w:rsidR="00A4649A" w:rsidRDefault="00A4649A" w:rsidP="00A4649A">
            <w:pPr>
              <w:jc w:val="center"/>
              <w:rPr>
                <w:rFonts w:ascii="Arial" w:hAnsi="Arial" w:cs="Arial"/>
                <w:sz w:val="24"/>
                <w:szCs w:val="24"/>
              </w:rPr>
            </w:pPr>
            <w:r>
              <w:rPr>
                <w:rFonts w:ascii="Arial" w:hAnsi="Arial" w:cs="Arial"/>
                <w:sz w:val="24"/>
                <w:szCs w:val="24"/>
              </w:rPr>
              <w:t>3.8%</w:t>
            </w:r>
          </w:p>
        </w:tc>
      </w:tr>
      <w:tr w:rsidR="00A4649A" w:rsidTr="00A4649A">
        <w:tc>
          <w:tcPr>
            <w:tcW w:w="7196" w:type="dxa"/>
          </w:tcPr>
          <w:p w:rsidR="00A4649A" w:rsidRDefault="00CE45FB" w:rsidP="00A4649A">
            <w:pPr>
              <w:rPr>
                <w:rFonts w:ascii="Arial" w:hAnsi="Arial" w:cs="Arial"/>
                <w:sz w:val="24"/>
                <w:szCs w:val="24"/>
              </w:rPr>
            </w:pPr>
            <w:r>
              <w:rPr>
                <w:rFonts w:ascii="Arial" w:hAnsi="Arial" w:cs="Arial"/>
                <w:sz w:val="24"/>
                <w:szCs w:val="24"/>
              </w:rPr>
              <w:t>PVS – School of Pre-</w:t>
            </w:r>
            <w:r w:rsidR="00A4649A">
              <w:rPr>
                <w:rFonts w:ascii="Arial" w:hAnsi="Arial" w:cs="Arial"/>
                <w:sz w:val="24"/>
                <w:szCs w:val="24"/>
              </w:rPr>
              <w:t>Vocational Studies</w:t>
            </w:r>
          </w:p>
          <w:p w:rsidR="00A4649A" w:rsidRDefault="00A4649A" w:rsidP="00A4649A">
            <w:pPr>
              <w:rPr>
                <w:rFonts w:ascii="Arial" w:hAnsi="Arial" w:cs="Arial"/>
                <w:sz w:val="24"/>
                <w:szCs w:val="24"/>
              </w:rPr>
            </w:pPr>
          </w:p>
        </w:tc>
        <w:tc>
          <w:tcPr>
            <w:tcW w:w="2046" w:type="dxa"/>
          </w:tcPr>
          <w:p w:rsidR="00A4649A" w:rsidRDefault="00A4649A" w:rsidP="00A4649A">
            <w:pPr>
              <w:jc w:val="center"/>
              <w:rPr>
                <w:rFonts w:ascii="Arial" w:hAnsi="Arial" w:cs="Arial"/>
                <w:sz w:val="24"/>
                <w:szCs w:val="24"/>
              </w:rPr>
            </w:pPr>
            <w:r>
              <w:rPr>
                <w:rFonts w:ascii="Arial" w:hAnsi="Arial" w:cs="Arial"/>
                <w:sz w:val="24"/>
                <w:szCs w:val="24"/>
              </w:rPr>
              <w:t>26.8%</w:t>
            </w:r>
          </w:p>
        </w:tc>
      </w:tr>
      <w:tr w:rsidR="00A4649A" w:rsidTr="00A4649A">
        <w:tc>
          <w:tcPr>
            <w:tcW w:w="7196" w:type="dxa"/>
          </w:tcPr>
          <w:p w:rsidR="00A4649A" w:rsidRDefault="00A4649A" w:rsidP="00A4649A">
            <w:pPr>
              <w:rPr>
                <w:rFonts w:ascii="Arial" w:hAnsi="Arial" w:cs="Arial"/>
                <w:sz w:val="24"/>
                <w:szCs w:val="24"/>
              </w:rPr>
            </w:pPr>
            <w:r>
              <w:rPr>
                <w:rFonts w:ascii="Arial" w:hAnsi="Arial" w:cs="Arial"/>
                <w:sz w:val="24"/>
                <w:szCs w:val="24"/>
              </w:rPr>
              <w:t>PWT – Pathways Training</w:t>
            </w:r>
          </w:p>
          <w:p w:rsidR="00A4649A" w:rsidRDefault="00A4649A" w:rsidP="00A4649A">
            <w:pPr>
              <w:rPr>
                <w:rFonts w:ascii="Arial" w:hAnsi="Arial" w:cs="Arial"/>
                <w:sz w:val="24"/>
                <w:szCs w:val="24"/>
              </w:rPr>
            </w:pPr>
          </w:p>
        </w:tc>
        <w:tc>
          <w:tcPr>
            <w:tcW w:w="2046" w:type="dxa"/>
          </w:tcPr>
          <w:p w:rsidR="00A4649A" w:rsidRDefault="00A4649A" w:rsidP="00A4649A">
            <w:pPr>
              <w:jc w:val="center"/>
              <w:rPr>
                <w:rFonts w:ascii="Arial" w:hAnsi="Arial" w:cs="Arial"/>
                <w:sz w:val="24"/>
                <w:szCs w:val="24"/>
              </w:rPr>
            </w:pPr>
            <w:r>
              <w:rPr>
                <w:rFonts w:ascii="Arial" w:hAnsi="Arial" w:cs="Arial"/>
                <w:sz w:val="24"/>
                <w:szCs w:val="24"/>
              </w:rPr>
              <w:t>0.0%</w:t>
            </w:r>
          </w:p>
        </w:tc>
      </w:tr>
      <w:tr w:rsidR="00A4649A" w:rsidTr="00A4649A">
        <w:tc>
          <w:tcPr>
            <w:tcW w:w="7196" w:type="dxa"/>
          </w:tcPr>
          <w:p w:rsidR="00A4649A" w:rsidRDefault="00A4649A" w:rsidP="00A4649A">
            <w:pPr>
              <w:rPr>
                <w:rFonts w:ascii="Arial" w:hAnsi="Arial" w:cs="Arial"/>
                <w:sz w:val="24"/>
                <w:szCs w:val="24"/>
              </w:rPr>
            </w:pPr>
            <w:r>
              <w:rPr>
                <w:rFonts w:ascii="Arial" w:hAnsi="Arial" w:cs="Arial"/>
                <w:sz w:val="24"/>
                <w:szCs w:val="24"/>
              </w:rPr>
              <w:t>SPS – School of Sport &amp; Public Services</w:t>
            </w:r>
          </w:p>
          <w:p w:rsidR="00A4649A" w:rsidRDefault="00A4649A" w:rsidP="00A4649A">
            <w:pPr>
              <w:rPr>
                <w:rFonts w:ascii="Arial" w:hAnsi="Arial" w:cs="Arial"/>
                <w:sz w:val="24"/>
                <w:szCs w:val="24"/>
              </w:rPr>
            </w:pPr>
          </w:p>
        </w:tc>
        <w:tc>
          <w:tcPr>
            <w:tcW w:w="2046" w:type="dxa"/>
          </w:tcPr>
          <w:p w:rsidR="00A4649A" w:rsidRDefault="00A4649A" w:rsidP="00A4649A">
            <w:pPr>
              <w:jc w:val="center"/>
              <w:rPr>
                <w:rFonts w:ascii="Arial" w:hAnsi="Arial" w:cs="Arial"/>
                <w:sz w:val="24"/>
                <w:szCs w:val="24"/>
              </w:rPr>
            </w:pPr>
            <w:r>
              <w:rPr>
                <w:rFonts w:ascii="Arial" w:hAnsi="Arial" w:cs="Arial"/>
                <w:sz w:val="24"/>
                <w:szCs w:val="24"/>
              </w:rPr>
              <w:t>12.4%</w:t>
            </w:r>
          </w:p>
        </w:tc>
      </w:tr>
      <w:tr w:rsidR="00A4649A" w:rsidTr="00A4649A">
        <w:tc>
          <w:tcPr>
            <w:tcW w:w="7196" w:type="dxa"/>
          </w:tcPr>
          <w:p w:rsidR="00A4649A" w:rsidRDefault="00A4649A" w:rsidP="00A4649A">
            <w:pPr>
              <w:rPr>
                <w:rFonts w:ascii="Arial" w:hAnsi="Arial" w:cs="Arial"/>
                <w:sz w:val="24"/>
                <w:szCs w:val="24"/>
              </w:rPr>
            </w:pPr>
            <w:r>
              <w:rPr>
                <w:rFonts w:ascii="Arial" w:hAnsi="Arial" w:cs="Arial"/>
                <w:sz w:val="24"/>
                <w:szCs w:val="24"/>
              </w:rPr>
              <w:t>SSL – School of Social Studies &amp; Languages</w:t>
            </w:r>
          </w:p>
          <w:p w:rsidR="00A4649A" w:rsidRDefault="00A4649A" w:rsidP="00A4649A">
            <w:pPr>
              <w:rPr>
                <w:rFonts w:ascii="Arial" w:hAnsi="Arial" w:cs="Arial"/>
                <w:sz w:val="24"/>
                <w:szCs w:val="24"/>
              </w:rPr>
            </w:pPr>
          </w:p>
        </w:tc>
        <w:tc>
          <w:tcPr>
            <w:tcW w:w="2046" w:type="dxa"/>
          </w:tcPr>
          <w:p w:rsidR="00A4649A" w:rsidRDefault="00A4649A" w:rsidP="00A4649A">
            <w:pPr>
              <w:jc w:val="center"/>
              <w:rPr>
                <w:rFonts w:ascii="Arial" w:hAnsi="Arial" w:cs="Arial"/>
                <w:sz w:val="24"/>
                <w:szCs w:val="24"/>
              </w:rPr>
            </w:pPr>
            <w:r>
              <w:rPr>
                <w:rFonts w:ascii="Arial" w:hAnsi="Arial" w:cs="Arial"/>
                <w:sz w:val="24"/>
                <w:szCs w:val="24"/>
              </w:rPr>
              <w:t>1.2%</w:t>
            </w:r>
          </w:p>
        </w:tc>
      </w:tr>
      <w:tr w:rsidR="00A4649A" w:rsidTr="00A4649A">
        <w:tc>
          <w:tcPr>
            <w:tcW w:w="7196" w:type="dxa"/>
          </w:tcPr>
          <w:p w:rsidR="00A4649A" w:rsidRDefault="007B62B6" w:rsidP="00A4649A">
            <w:pPr>
              <w:rPr>
                <w:rFonts w:ascii="Arial" w:hAnsi="Arial" w:cs="Arial"/>
                <w:sz w:val="24"/>
                <w:szCs w:val="24"/>
              </w:rPr>
            </w:pPr>
            <w:r>
              <w:rPr>
                <w:rFonts w:ascii="Arial" w:hAnsi="Arial" w:cs="Arial"/>
                <w:sz w:val="24"/>
                <w:szCs w:val="24"/>
              </w:rPr>
              <w:t xml:space="preserve">UFI – </w:t>
            </w:r>
            <w:proofErr w:type="spellStart"/>
            <w:r w:rsidR="00C41E9E">
              <w:rPr>
                <w:rFonts w:ascii="Arial" w:hAnsi="Arial" w:cs="Arial"/>
                <w:sz w:val="24"/>
                <w:szCs w:val="24"/>
              </w:rPr>
              <w:t>l</w:t>
            </w:r>
            <w:r>
              <w:rPr>
                <w:rFonts w:ascii="Arial" w:hAnsi="Arial" w:cs="Arial"/>
                <w:sz w:val="24"/>
                <w:szCs w:val="24"/>
              </w:rPr>
              <w:t>earn</w:t>
            </w:r>
            <w:r w:rsidR="00C41E9E">
              <w:rPr>
                <w:rFonts w:ascii="Arial" w:hAnsi="Arial" w:cs="Arial"/>
                <w:sz w:val="24"/>
                <w:szCs w:val="24"/>
              </w:rPr>
              <w:t>d</w:t>
            </w:r>
            <w:r w:rsidR="00A4649A">
              <w:rPr>
                <w:rFonts w:ascii="Arial" w:hAnsi="Arial" w:cs="Arial"/>
                <w:sz w:val="24"/>
                <w:szCs w:val="24"/>
              </w:rPr>
              <w:t>irect</w:t>
            </w:r>
            <w:proofErr w:type="spellEnd"/>
          </w:p>
          <w:p w:rsidR="00A4649A" w:rsidRDefault="00A4649A" w:rsidP="00A4649A">
            <w:pPr>
              <w:rPr>
                <w:rFonts w:ascii="Arial" w:hAnsi="Arial" w:cs="Arial"/>
                <w:sz w:val="24"/>
                <w:szCs w:val="24"/>
              </w:rPr>
            </w:pPr>
          </w:p>
        </w:tc>
        <w:tc>
          <w:tcPr>
            <w:tcW w:w="2046" w:type="dxa"/>
          </w:tcPr>
          <w:p w:rsidR="00A4649A" w:rsidRDefault="00A4649A" w:rsidP="00A4649A">
            <w:pPr>
              <w:jc w:val="center"/>
              <w:rPr>
                <w:rFonts w:ascii="Arial" w:hAnsi="Arial" w:cs="Arial"/>
                <w:sz w:val="24"/>
                <w:szCs w:val="24"/>
              </w:rPr>
            </w:pPr>
            <w:r>
              <w:rPr>
                <w:rFonts w:ascii="Arial" w:hAnsi="Arial" w:cs="Arial"/>
                <w:sz w:val="24"/>
                <w:szCs w:val="24"/>
              </w:rPr>
              <w:t>5.6%</w:t>
            </w:r>
          </w:p>
        </w:tc>
      </w:tr>
      <w:tr w:rsidR="00A4649A" w:rsidTr="00A4649A">
        <w:tc>
          <w:tcPr>
            <w:tcW w:w="7196" w:type="dxa"/>
            <w:shd w:val="clear" w:color="auto" w:fill="E5B8B7" w:themeFill="accent2" w:themeFillTint="66"/>
          </w:tcPr>
          <w:p w:rsidR="00A4649A" w:rsidRDefault="00A4649A" w:rsidP="00A4649A">
            <w:pPr>
              <w:jc w:val="center"/>
              <w:rPr>
                <w:rFonts w:ascii="Arial" w:hAnsi="Arial" w:cs="Arial"/>
                <w:sz w:val="24"/>
                <w:szCs w:val="24"/>
              </w:rPr>
            </w:pPr>
            <w:r>
              <w:rPr>
                <w:rFonts w:ascii="Arial" w:hAnsi="Arial" w:cs="Arial"/>
                <w:sz w:val="24"/>
                <w:szCs w:val="24"/>
              </w:rPr>
              <w:t>Total</w:t>
            </w:r>
          </w:p>
          <w:p w:rsidR="00A4649A" w:rsidRDefault="00A4649A" w:rsidP="00A4649A">
            <w:pPr>
              <w:rPr>
                <w:rFonts w:ascii="Arial" w:hAnsi="Arial" w:cs="Arial"/>
                <w:sz w:val="24"/>
                <w:szCs w:val="24"/>
              </w:rPr>
            </w:pPr>
          </w:p>
        </w:tc>
        <w:tc>
          <w:tcPr>
            <w:tcW w:w="2046" w:type="dxa"/>
            <w:shd w:val="clear" w:color="auto" w:fill="E5B8B7" w:themeFill="accent2" w:themeFillTint="66"/>
          </w:tcPr>
          <w:p w:rsidR="00A4649A" w:rsidRDefault="00A4649A" w:rsidP="00A4649A">
            <w:pPr>
              <w:jc w:val="center"/>
              <w:rPr>
                <w:rFonts w:ascii="Arial" w:hAnsi="Arial" w:cs="Arial"/>
                <w:sz w:val="24"/>
                <w:szCs w:val="24"/>
              </w:rPr>
            </w:pPr>
            <w:r>
              <w:rPr>
                <w:rFonts w:ascii="Arial" w:hAnsi="Arial" w:cs="Arial"/>
                <w:sz w:val="24"/>
                <w:szCs w:val="24"/>
              </w:rPr>
              <w:t>8.9%</w:t>
            </w:r>
          </w:p>
        </w:tc>
      </w:tr>
    </w:tbl>
    <w:p w:rsidR="00E6211C" w:rsidRPr="00E6211C" w:rsidRDefault="00E6211C" w:rsidP="00E6211C">
      <w:pPr>
        <w:rPr>
          <w:rFonts w:ascii="Arial" w:hAnsi="Arial" w:cs="Arial"/>
          <w:sz w:val="24"/>
          <w:szCs w:val="24"/>
        </w:rPr>
      </w:pPr>
      <w:r w:rsidRPr="00E6211C">
        <w:rPr>
          <w:rFonts w:ascii="Arial" w:hAnsi="Arial" w:cs="Arial"/>
          <w:sz w:val="24"/>
          <w:szCs w:val="24"/>
        </w:rPr>
        <w:t>It can be seen that for 2009-2010 that an average of 8.9% of enr</w:t>
      </w:r>
      <w:r w:rsidR="00CE45FB">
        <w:rPr>
          <w:rFonts w:ascii="Arial" w:hAnsi="Arial" w:cs="Arial"/>
          <w:sz w:val="24"/>
          <w:szCs w:val="24"/>
        </w:rPr>
        <w:t xml:space="preserve">olments at </w:t>
      </w:r>
      <w:r w:rsidR="00C41E9E">
        <w:rPr>
          <w:rFonts w:ascii="Arial" w:hAnsi="Arial" w:cs="Arial"/>
          <w:sz w:val="24"/>
          <w:szCs w:val="24"/>
        </w:rPr>
        <w:t>C</w:t>
      </w:r>
      <w:r w:rsidRPr="00E6211C">
        <w:rPr>
          <w:rFonts w:ascii="Arial" w:hAnsi="Arial" w:cs="Arial"/>
          <w:sz w:val="24"/>
          <w:szCs w:val="24"/>
        </w:rPr>
        <w:t xml:space="preserve">ollege can be contributed to learners in receipt of free meals. The </w:t>
      </w:r>
      <w:r w:rsidR="00C41E9E">
        <w:rPr>
          <w:rFonts w:ascii="Arial" w:hAnsi="Arial" w:cs="Arial"/>
          <w:sz w:val="24"/>
          <w:szCs w:val="24"/>
        </w:rPr>
        <w:t>S</w:t>
      </w:r>
      <w:r w:rsidRPr="00E6211C">
        <w:rPr>
          <w:rFonts w:ascii="Arial" w:hAnsi="Arial" w:cs="Arial"/>
          <w:sz w:val="24"/>
          <w:szCs w:val="24"/>
        </w:rPr>
        <w:t>chool with the highest percentage of learners on free meals is the School of Pre</w:t>
      </w:r>
      <w:r w:rsidR="00C41E9E">
        <w:rPr>
          <w:rFonts w:ascii="Arial" w:hAnsi="Arial" w:cs="Arial"/>
          <w:sz w:val="24"/>
          <w:szCs w:val="24"/>
        </w:rPr>
        <w:t>-</w:t>
      </w:r>
      <w:r w:rsidRPr="00E6211C">
        <w:rPr>
          <w:rFonts w:ascii="Arial" w:hAnsi="Arial" w:cs="Arial"/>
          <w:sz w:val="24"/>
          <w:szCs w:val="24"/>
        </w:rPr>
        <w:t xml:space="preserve">Vocational Studies </w:t>
      </w:r>
      <w:r w:rsidR="00585D2B">
        <w:rPr>
          <w:rFonts w:ascii="Arial" w:hAnsi="Arial" w:cs="Arial"/>
          <w:sz w:val="24"/>
          <w:szCs w:val="24"/>
        </w:rPr>
        <w:t>(</w:t>
      </w:r>
      <w:r w:rsidRPr="00E6211C">
        <w:rPr>
          <w:rFonts w:ascii="Arial" w:hAnsi="Arial" w:cs="Arial"/>
          <w:sz w:val="24"/>
          <w:szCs w:val="24"/>
        </w:rPr>
        <w:t xml:space="preserve">26.8%) followed </w:t>
      </w:r>
      <w:r w:rsidR="00585D2B">
        <w:rPr>
          <w:rFonts w:ascii="Arial" w:hAnsi="Arial" w:cs="Arial"/>
          <w:sz w:val="24"/>
          <w:szCs w:val="24"/>
        </w:rPr>
        <w:t>by the School of Horticulture, H</w:t>
      </w:r>
      <w:r w:rsidRPr="00E6211C">
        <w:rPr>
          <w:rFonts w:ascii="Arial" w:hAnsi="Arial" w:cs="Arial"/>
          <w:sz w:val="24"/>
          <w:szCs w:val="24"/>
        </w:rPr>
        <w:t>airdressing and Applied Therapies</w:t>
      </w:r>
      <w:r w:rsidR="00C41E9E">
        <w:rPr>
          <w:rFonts w:ascii="Arial" w:hAnsi="Arial" w:cs="Arial"/>
          <w:sz w:val="24"/>
          <w:szCs w:val="24"/>
        </w:rPr>
        <w:t>,</w:t>
      </w:r>
      <w:r w:rsidRPr="00E6211C">
        <w:rPr>
          <w:rFonts w:ascii="Arial" w:hAnsi="Arial" w:cs="Arial"/>
          <w:sz w:val="24"/>
          <w:szCs w:val="24"/>
        </w:rPr>
        <w:t xml:space="preserve"> then the School of Busin</w:t>
      </w:r>
      <w:r>
        <w:rPr>
          <w:rFonts w:ascii="Arial" w:hAnsi="Arial" w:cs="Arial"/>
          <w:sz w:val="24"/>
          <w:szCs w:val="24"/>
        </w:rPr>
        <w:t xml:space="preserve">ess, Tourism and Hospitality.  </w:t>
      </w:r>
    </w:p>
    <w:p w:rsidR="00E6211C" w:rsidRPr="00E6211C" w:rsidRDefault="00E6211C" w:rsidP="00E6211C">
      <w:pPr>
        <w:rPr>
          <w:rFonts w:ascii="Arial" w:hAnsi="Arial" w:cs="Arial"/>
          <w:sz w:val="24"/>
          <w:szCs w:val="24"/>
        </w:rPr>
      </w:pPr>
      <w:r w:rsidRPr="00E6211C">
        <w:rPr>
          <w:rFonts w:ascii="Arial" w:hAnsi="Arial" w:cs="Arial"/>
          <w:sz w:val="24"/>
          <w:szCs w:val="24"/>
        </w:rPr>
        <w:t>The table and chart below show the comparison of the retention, attainment and success of male learners on free meals with males who are not in receipt of free meals</w:t>
      </w:r>
      <w:r w:rsidR="0046034A">
        <w:rPr>
          <w:rFonts w:ascii="Arial" w:hAnsi="Arial" w:cs="Arial"/>
          <w:sz w:val="24"/>
          <w:szCs w:val="24"/>
        </w:rPr>
        <w:t>:</w:t>
      </w:r>
    </w:p>
    <w:p w:rsidR="00E6211C" w:rsidRPr="00E6211C" w:rsidRDefault="00E6211C" w:rsidP="00E6211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E6211C" w:rsidRPr="00E6211C" w:rsidTr="00E6211C">
        <w:tc>
          <w:tcPr>
            <w:tcW w:w="2840" w:type="dxa"/>
            <w:tcBorders>
              <w:bottom w:val="single" w:sz="4" w:space="0" w:color="auto"/>
            </w:tcBorders>
            <w:shd w:val="clear" w:color="auto" w:fill="E5B8B7" w:themeFill="accent2" w:themeFillTint="66"/>
          </w:tcPr>
          <w:p w:rsidR="00E6211C" w:rsidRPr="00E6211C" w:rsidRDefault="00E6211C" w:rsidP="004D78D7">
            <w:pPr>
              <w:rPr>
                <w:rFonts w:ascii="Arial" w:hAnsi="Arial" w:cs="Arial"/>
                <w:sz w:val="24"/>
                <w:szCs w:val="24"/>
              </w:rPr>
            </w:pPr>
          </w:p>
        </w:tc>
        <w:tc>
          <w:tcPr>
            <w:tcW w:w="2841" w:type="dxa"/>
            <w:shd w:val="clear" w:color="auto" w:fill="E5B8B7" w:themeFill="accent2" w:themeFillTint="66"/>
          </w:tcPr>
          <w:p w:rsidR="00E6211C" w:rsidRPr="00E6211C" w:rsidRDefault="00E6211C" w:rsidP="004D78D7">
            <w:pPr>
              <w:rPr>
                <w:rFonts w:ascii="Arial" w:hAnsi="Arial" w:cs="Arial"/>
                <w:sz w:val="24"/>
                <w:szCs w:val="24"/>
              </w:rPr>
            </w:pPr>
            <w:r w:rsidRPr="00E6211C">
              <w:rPr>
                <w:rFonts w:ascii="Arial" w:hAnsi="Arial" w:cs="Arial"/>
                <w:sz w:val="24"/>
                <w:szCs w:val="24"/>
              </w:rPr>
              <w:t>Males in receipt of free meals (%)</w:t>
            </w:r>
          </w:p>
        </w:tc>
        <w:tc>
          <w:tcPr>
            <w:tcW w:w="2841" w:type="dxa"/>
            <w:shd w:val="clear" w:color="auto" w:fill="E5B8B7" w:themeFill="accent2" w:themeFillTint="66"/>
          </w:tcPr>
          <w:p w:rsidR="00E6211C" w:rsidRPr="00E6211C" w:rsidRDefault="00C2066F" w:rsidP="004D78D7">
            <w:pPr>
              <w:rPr>
                <w:rFonts w:ascii="Arial" w:hAnsi="Arial" w:cs="Arial"/>
                <w:sz w:val="24"/>
                <w:szCs w:val="24"/>
              </w:rPr>
            </w:pPr>
            <w:r>
              <w:rPr>
                <w:rFonts w:ascii="Arial" w:hAnsi="Arial" w:cs="Arial"/>
                <w:sz w:val="24"/>
                <w:szCs w:val="24"/>
              </w:rPr>
              <w:t>Males not in receipt o</w:t>
            </w:r>
            <w:r w:rsidR="00E6211C" w:rsidRPr="00E6211C">
              <w:rPr>
                <w:rFonts w:ascii="Arial" w:hAnsi="Arial" w:cs="Arial"/>
                <w:sz w:val="24"/>
                <w:szCs w:val="24"/>
              </w:rPr>
              <w:t>f free meals (%)</w:t>
            </w:r>
          </w:p>
        </w:tc>
      </w:tr>
      <w:tr w:rsidR="00E6211C" w:rsidRPr="00E6211C" w:rsidTr="00E6211C">
        <w:tc>
          <w:tcPr>
            <w:tcW w:w="2840" w:type="dxa"/>
            <w:shd w:val="clear" w:color="auto" w:fill="E5B8B7" w:themeFill="accent2" w:themeFillTint="66"/>
          </w:tcPr>
          <w:p w:rsidR="00E6211C" w:rsidRPr="00E6211C" w:rsidRDefault="00E6211C" w:rsidP="004D78D7">
            <w:pPr>
              <w:rPr>
                <w:rFonts w:ascii="Arial" w:hAnsi="Arial" w:cs="Arial"/>
                <w:sz w:val="24"/>
                <w:szCs w:val="24"/>
              </w:rPr>
            </w:pPr>
            <w:r w:rsidRPr="00E6211C">
              <w:rPr>
                <w:rFonts w:ascii="Arial" w:hAnsi="Arial" w:cs="Arial"/>
                <w:sz w:val="24"/>
                <w:szCs w:val="24"/>
              </w:rPr>
              <w:t>Retention</w:t>
            </w:r>
          </w:p>
        </w:tc>
        <w:tc>
          <w:tcPr>
            <w:tcW w:w="2841" w:type="dxa"/>
          </w:tcPr>
          <w:p w:rsidR="00E6211C" w:rsidRPr="00E6211C" w:rsidRDefault="00E6211C" w:rsidP="004D78D7">
            <w:pPr>
              <w:rPr>
                <w:rFonts w:ascii="Arial" w:hAnsi="Arial" w:cs="Arial"/>
                <w:sz w:val="24"/>
                <w:szCs w:val="24"/>
              </w:rPr>
            </w:pPr>
            <w:r w:rsidRPr="00E6211C">
              <w:rPr>
                <w:rFonts w:ascii="Arial" w:hAnsi="Arial" w:cs="Arial"/>
                <w:sz w:val="24"/>
                <w:szCs w:val="24"/>
              </w:rPr>
              <w:t>92.7</w:t>
            </w:r>
          </w:p>
        </w:tc>
        <w:tc>
          <w:tcPr>
            <w:tcW w:w="2841" w:type="dxa"/>
          </w:tcPr>
          <w:p w:rsidR="00E6211C" w:rsidRPr="00E6211C" w:rsidRDefault="00E6211C" w:rsidP="004D78D7">
            <w:pPr>
              <w:rPr>
                <w:rFonts w:ascii="Arial" w:hAnsi="Arial" w:cs="Arial"/>
                <w:sz w:val="24"/>
                <w:szCs w:val="24"/>
              </w:rPr>
            </w:pPr>
            <w:r w:rsidRPr="00E6211C">
              <w:rPr>
                <w:rFonts w:ascii="Arial" w:hAnsi="Arial" w:cs="Arial"/>
                <w:sz w:val="24"/>
                <w:szCs w:val="24"/>
              </w:rPr>
              <w:t>91.0</w:t>
            </w:r>
          </w:p>
        </w:tc>
      </w:tr>
      <w:tr w:rsidR="00E6211C" w:rsidRPr="00E6211C" w:rsidTr="00E6211C">
        <w:tc>
          <w:tcPr>
            <w:tcW w:w="2840" w:type="dxa"/>
            <w:shd w:val="clear" w:color="auto" w:fill="E5B8B7" w:themeFill="accent2" w:themeFillTint="66"/>
          </w:tcPr>
          <w:p w:rsidR="00E6211C" w:rsidRPr="00E6211C" w:rsidRDefault="00E6211C" w:rsidP="004D78D7">
            <w:pPr>
              <w:rPr>
                <w:rFonts w:ascii="Arial" w:hAnsi="Arial" w:cs="Arial"/>
                <w:sz w:val="24"/>
                <w:szCs w:val="24"/>
              </w:rPr>
            </w:pPr>
            <w:r w:rsidRPr="00E6211C">
              <w:rPr>
                <w:rFonts w:ascii="Arial" w:hAnsi="Arial" w:cs="Arial"/>
                <w:sz w:val="24"/>
                <w:szCs w:val="24"/>
              </w:rPr>
              <w:t>Attainment</w:t>
            </w:r>
          </w:p>
        </w:tc>
        <w:tc>
          <w:tcPr>
            <w:tcW w:w="2841" w:type="dxa"/>
          </w:tcPr>
          <w:p w:rsidR="00E6211C" w:rsidRPr="00E6211C" w:rsidRDefault="00E6211C" w:rsidP="004D78D7">
            <w:pPr>
              <w:rPr>
                <w:rFonts w:ascii="Arial" w:hAnsi="Arial" w:cs="Arial"/>
                <w:sz w:val="24"/>
                <w:szCs w:val="24"/>
              </w:rPr>
            </w:pPr>
            <w:r w:rsidRPr="00E6211C">
              <w:rPr>
                <w:rFonts w:ascii="Arial" w:hAnsi="Arial" w:cs="Arial"/>
                <w:sz w:val="24"/>
                <w:szCs w:val="24"/>
              </w:rPr>
              <w:t>84.6</w:t>
            </w:r>
          </w:p>
        </w:tc>
        <w:tc>
          <w:tcPr>
            <w:tcW w:w="2841" w:type="dxa"/>
          </w:tcPr>
          <w:p w:rsidR="00E6211C" w:rsidRPr="00E6211C" w:rsidRDefault="00E6211C" w:rsidP="004D78D7">
            <w:pPr>
              <w:rPr>
                <w:rFonts w:ascii="Arial" w:hAnsi="Arial" w:cs="Arial"/>
                <w:sz w:val="24"/>
                <w:szCs w:val="24"/>
              </w:rPr>
            </w:pPr>
            <w:r w:rsidRPr="00E6211C">
              <w:rPr>
                <w:rFonts w:ascii="Arial" w:hAnsi="Arial" w:cs="Arial"/>
                <w:sz w:val="24"/>
                <w:szCs w:val="24"/>
              </w:rPr>
              <w:t>82.4</w:t>
            </w:r>
          </w:p>
        </w:tc>
      </w:tr>
      <w:tr w:rsidR="00E6211C" w:rsidRPr="00E6211C" w:rsidTr="00E6211C">
        <w:tc>
          <w:tcPr>
            <w:tcW w:w="2840" w:type="dxa"/>
            <w:shd w:val="clear" w:color="auto" w:fill="E5B8B7" w:themeFill="accent2" w:themeFillTint="66"/>
          </w:tcPr>
          <w:p w:rsidR="00E6211C" w:rsidRPr="00E6211C" w:rsidRDefault="00E6211C" w:rsidP="004D78D7">
            <w:pPr>
              <w:rPr>
                <w:rFonts w:ascii="Arial" w:hAnsi="Arial" w:cs="Arial"/>
                <w:sz w:val="24"/>
                <w:szCs w:val="24"/>
              </w:rPr>
            </w:pPr>
            <w:r w:rsidRPr="00E6211C">
              <w:rPr>
                <w:rFonts w:ascii="Arial" w:hAnsi="Arial" w:cs="Arial"/>
                <w:sz w:val="24"/>
                <w:szCs w:val="24"/>
              </w:rPr>
              <w:t>Success</w:t>
            </w:r>
          </w:p>
        </w:tc>
        <w:tc>
          <w:tcPr>
            <w:tcW w:w="2841" w:type="dxa"/>
          </w:tcPr>
          <w:p w:rsidR="00E6211C" w:rsidRPr="00E6211C" w:rsidRDefault="00E6211C" w:rsidP="004D78D7">
            <w:pPr>
              <w:rPr>
                <w:rFonts w:ascii="Arial" w:hAnsi="Arial" w:cs="Arial"/>
                <w:sz w:val="24"/>
                <w:szCs w:val="24"/>
              </w:rPr>
            </w:pPr>
            <w:r w:rsidRPr="00E6211C">
              <w:rPr>
                <w:rFonts w:ascii="Arial" w:hAnsi="Arial" w:cs="Arial"/>
                <w:sz w:val="24"/>
                <w:szCs w:val="24"/>
              </w:rPr>
              <w:t>78.5</w:t>
            </w:r>
          </w:p>
        </w:tc>
        <w:tc>
          <w:tcPr>
            <w:tcW w:w="2841" w:type="dxa"/>
          </w:tcPr>
          <w:p w:rsidR="00E6211C" w:rsidRPr="00E6211C" w:rsidRDefault="00E6211C" w:rsidP="004D78D7">
            <w:pPr>
              <w:rPr>
                <w:rFonts w:ascii="Arial" w:hAnsi="Arial" w:cs="Arial"/>
                <w:sz w:val="24"/>
                <w:szCs w:val="24"/>
              </w:rPr>
            </w:pPr>
            <w:r w:rsidRPr="00E6211C">
              <w:rPr>
                <w:rFonts w:ascii="Arial" w:hAnsi="Arial" w:cs="Arial"/>
                <w:sz w:val="24"/>
                <w:szCs w:val="24"/>
              </w:rPr>
              <w:t>75.0</w:t>
            </w:r>
          </w:p>
        </w:tc>
      </w:tr>
    </w:tbl>
    <w:p w:rsidR="00E6211C" w:rsidRPr="00E6211C" w:rsidRDefault="00E6211C" w:rsidP="00E6211C">
      <w:pPr>
        <w:rPr>
          <w:rFonts w:ascii="Arial" w:hAnsi="Arial" w:cs="Arial"/>
          <w:sz w:val="24"/>
          <w:szCs w:val="24"/>
        </w:rPr>
      </w:pPr>
    </w:p>
    <w:p w:rsidR="00CC7848" w:rsidRPr="00CC7848" w:rsidRDefault="003C7053" w:rsidP="003C7053">
      <w:pPr>
        <w:jc w:val="center"/>
        <w:rPr>
          <w:rFonts w:ascii="Arial" w:hAnsi="Arial" w:cs="Arial"/>
          <w:sz w:val="24"/>
          <w:szCs w:val="24"/>
        </w:rPr>
      </w:pPr>
      <w:r w:rsidRPr="003C7053">
        <w:rPr>
          <w:rFonts w:ascii="Arial" w:hAnsi="Arial" w:cs="Arial"/>
          <w:noProof/>
          <w:sz w:val="24"/>
          <w:szCs w:val="24"/>
        </w:rPr>
        <w:drawing>
          <wp:inline distT="0" distB="0" distL="0" distR="0">
            <wp:extent cx="4572000" cy="2743200"/>
            <wp:effectExtent l="1905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82585E" w:rsidRDefault="0082585E" w:rsidP="00C2066F">
      <w:pPr>
        <w:jc w:val="center"/>
        <w:rPr>
          <w:rFonts w:ascii="Arial" w:hAnsi="Arial" w:cs="Arial"/>
          <w:sz w:val="24"/>
          <w:szCs w:val="24"/>
        </w:rPr>
      </w:pPr>
    </w:p>
    <w:p w:rsidR="00C2066F" w:rsidRPr="00CC7848" w:rsidRDefault="00C2066F" w:rsidP="00C2066F">
      <w:pPr>
        <w:rPr>
          <w:rFonts w:ascii="Arial" w:hAnsi="Arial" w:cs="Arial"/>
          <w:sz w:val="24"/>
          <w:szCs w:val="24"/>
        </w:rPr>
      </w:pPr>
    </w:p>
    <w:p w:rsidR="00C2066F" w:rsidRPr="00C2066F" w:rsidRDefault="00C2066F" w:rsidP="00C2066F">
      <w:pPr>
        <w:rPr>
          <w:rFonts w:ascii="Arial" w:hAnsi="Arial" w:cs="Arial"/>
          <w:sz w:val="24"/>
          <w:szCs w:val="24"/>
        </w:rPr>
      </w:pPr>
      <w:r w:rsidRPr="00C2066F">
        <w:rPr>
          <w:rFonts w:ascii="Arial" w:hAnsi="Arial" w:cs="Arial"/>
          <w:sz w:val="24"/>
          <w:szCs w:val="24"/>
        </w:rPr>
        <w:t xml:space="preserve">It can be seen that the retention, attainment and success of males in receipt of free meals slightly exceeds that of males who are not in receipt of free meals. </w:t>
      </w:r>
    </w:p>
    <w:p w:rsidR="00C2066F" w:rsidRPr="00C2066F" w:rsidRDefault="00C2066F" w:rsidP="00C2066F">
      <w:pPr>
        <w:rPr>
          <w:rFonts w:ascii="Arial" w:hAnsi="Arial" w:cs="Arial"/>
          <w:sz w:val="24"/>
          <w:szCs w:val="24"/>
        </w:rPr>
      </w:pPr>
    </w:p>
    <w:p w:rsidR="00C2066F" w:rsidRPr="00C2066F" w:rsidRDefault="00C2066F" w:rsidP="00C2066F">
      <w:pPr>
        <w:rPr>
          <w:rFonts w:ascii="Arial" w:hAnsi="Arial" w:cs="Arial"/>
          <w:sz w:val="24"/>
          <w:szCs w:val="24"/>
        </w:rPr>
      </w:pPr>
      <w:r w:rsidRPr="00C2066F">
        <w:rPr>
          <w:rFonts w:ascii="Arial" w:hAnsi="Arial" w:cs="Arial"/>
          <w:sz w:val="24"/>
          <w:szCs w:val="24"/>
        </w:rPr>
        <w:t xml:space="preserve">The table and chart below show the comparison of the retention, attainment and success of </w:t>
      </w:r>
      <w:r>
        <w:rPr>
          <w:rFonts w:ascii="Arial" w:hAnsi="Arial" w:cs="Arial"/>
          <w:sz w:val="24"/>
          <w:szCs w:val="24"/>
        </w:rPr>
        <w:t>fe</w:t>
      </w:r>
      <w:r w:rsidRPr="00C2066F">
        <w:rPr>
          <w:rFonts w:ascii="Arial" w:hAnsi="Arial" w:cs="Arial"/>
          <w:sz w:val="24"/>
          <w:szCs w:val="24"/>
        </w:rPr>
        <w:t xml:space="preserve">male learners on free meals with </w:t>
      </w:r>
      <w:r>
        <w:rPr>
          <w:rFonts w:ascii="Arial" w:hAnsi="Arial" w:cs="Arial"/>
          <w:sz w:val="24"/>
          <w:szCs w:val="24"/>
        </w:rPr>
        <w:t>fe</w:t>
      </w:r>
      <w:r w:rsidRPr="00C2066F">
        <w:rPr>
          <w:rFonts w:ascii="Arial" w:hAnsi="Arial" w:cs="Arial"/>
          <w:sz w:val="24"/>
          <w:szCs w:val="24"/>
        </w:rPr>
        <w:t>males who ar</w:t>
      </w:r>
      <w:r>
        <w:rPr>
          <w:rFonts w:ascii="Arial" w:hAnsi="Arial" w:cs="Arial"/>
          <w:sz w:val="24"/>
          <w:szCs w:val="24"/>
        </w:rPr>
        <w:t>e not in receipt of free meals</w:t>
      </w:r>
      <w:r w:rsidR="0046034A">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C2066F" w:rsidRPr="00C2066F" w:rsidTr="00C2066F">
        <w:tc>
          <w:tcPr>
            <w:tcW w:w="2840" w:type="dxa"/>
            <w:tcBorders>
              <w:bottom w:val="single" w:sz="4" w:space="0" w:color="auto"/>
            </w:tcBorders>
            <w:shd w:val="clear" w:color="auto" w:fill="E5B8B7" w:themeFill="accent2" w:themeFillTint="66"/>
          </w:tcPr>
          <w:p w:rsidR="00C2066F" w:rsidRPr="00C2066F" w:rsidRDefault="00C2066F" w:rsidP="004D78D7">
            <w:pPr>
              <w:rPr>
                <w:rFonts w:ascii="Arial" w:hAnsi="Arial" w:cs="Arial"/>
                <w:sz w:val="24"/>
                <w:szCs w:val="24"/>
              </w:rPr>
            </w:pPr>
          </w:p>
        </w:tc>
        <w:tc>
          <w:tcPr>
            <w:tcW w:w="2841" w:type="dxa"/>
            <w:shd w:val="clear" w:color="auto" w:fill="E5B8B7" w:themeFill="accent2" w:themeFillTint="66"/>
          </w:tcPr>
          <w:p w:rsidR="00C2066F" w:rsidRPr="00C2066F" w:rsidRDefault="00C2066F" w:rsidP="004D78D7">
            <w:pPr>
              <w:rPr>
                <w:rFonts w:ascii="Arial" w:hAnsi="Arial" w:cs="Arial"/>
                <w:sz w:val="24"/>
                <w:szCs w:val="24"/>
              </w:rPr>
            </w:pPr>
            <w:r w:rsidRPr="00C2066F">
              <w:rPr>
                <w:rFonts w:ascii="Arial" w:hAnsi="Arial" w:cs="Arial"/>
                <w:sz w:val="24"/>
                <w:szCs w:val="24"/>
              </w:rPr>
              <w:t>Females in receipt of free meals (%)</w:t>
            </w:r>
          </w:p>
        </w:tc>
        <w:tc>
          <w:tcPr>
            <w:tcW w:w="2841" w:type="dxa"/>
            <w:shd w:val="clear" w:color="auto" w:fill="E5B8B7" w:themeFill="accent2" w:themeFillTint="66"/>
          </w:tcPr>
          <w:p w:rsidR="00C2066F" w:rsidRPr="00C2066F" w:rsidRDefault="00C2066F" w:rsidP="004D78D7">
            <w:pPr>
              <w:rPr>
                <w:rFonts w:ascii="Arial" w:hAnsi="Arial" w:cs="Arial"/>
                <w:sz w:val="24"/>
                <w:szCs w:val="24"/>
              </w:rPr>
            </w:pPr>
            <w:r>
              <w:rPr>
                <w:rFonts w:ascii="Arial" w:hAnsi="Arial" w:cs="Arial"/>
                <w:sz w:val="24"/>
                <w:szCs w:val="24"/>
              </w:rPr>
              <w:t>Females not in receipt o</w:t>
            </w:r>
            <w:r w:rsidRPr="00C2066F">
              <w:rPr>
                <w:rFonts w:ascii="Arial" w:hAnsi="Arial" w:cs="Arial"/>
                <w:sz w:val="24"/>
                <w:szCs w:val="24"/>
              </w:rPr>
              <w:t>f free meals (%)</w:t>
            </w:r>
          </w:p>
        </w:tc>
      </w:tr>
      <w:tr w:rsidR="00C2066F" w:rsidRPr="00C2066F" w:rsidTr="00C2066F">
        <w:tc>
          <w:tcPr>
            <w:tcW w:w="2840" w:type="dxa"/>
            <w:shd w:val="clear" w:color="auto" w:fill="E5B8B7" w:themeFill="accent2" w:themeFillTint="66"/>
          </w:tcPr>
          <w:p w:rsidR="00C2066F" w:rsidRPr="00C2066F" w:rsidRDefault="00C2066F" w:rsidP="004D78D7">
            <w:pPr>
              <w:rPr>
                <w:rFonts w:ascii="Arial" w:hAnsi="Arial" w:cs="Arial"/>
                <w:sz w:val="24"/>
                <w:szCs w:val="24"/>
              </w:rPr>
            </w:pPr>
            <w:r w:rsidRPr="00C2066F">
              <w:rPr>
                <w:rFonts w:ascii="Arial" w:hAnsi="Arial" w:cs="Arial"/>
                <w:sz w:val="24"/>
                <w:szCs w:val="24"/>
              </w:rPr>
              <w:t>Retention</w:t>
            </w:r>
          </w:p>
        </w:tc>
        <w:tc>
          <w:tcPr>
            <w:tcW w:w="2841" w:type="dxa"/>
          </w:tcPr>
          <w:p w:rsidR="00C2066F" w:rsidRPr="00C2066F" w:rsidRDefault="00C2066F" w:rsidP="004D78D7">
            <w:pPr>
              <w:rPr>
                <w:rFonts w:ascii="Arial" w:hAnsi="Arial" w:cs="Arial"/>
                <w:sz w:val="24"/>
                <w:szCs w:val="24"/>
              </w:rPr>
            </w:pPr>
            <w:r w:rsidRPr="00C2066F">
              <w:rPr>
                <w:rFonts w:ascii="Arial" w:hAnsi="Arial" w:cs="Arial"/>
                <w:sz w:val="24"/>
                <w:szCs w:val="24"/>
              </w:rPr>
              <w:t>95.7</w:t>
            </w:r>
          </w:p>
        </w:tc>
        <w:tc>
          <w:tcPr>
            <w:tcW w:w="2841" w:type="dxa"/>
          </w:tcPr>
          <w:p w:rsidR="00C2066F" w:rsidRPr="00C2066F" w:rsidRDefault="00C2066F" w:rsidP="004D78D7">
            <w:pPr>
              <w:rPr>
                <w:rFonts w:ascii="Arial" w:hAnsi="Arial" w:cs="Arial"/>
                <w:sz w:val="24"/>
                <w:szCs w:val="24"/>
              </w:rPr>
            </w:pPr>
            <w:r w:rsidRPr="00C2066F">
              <w:rPr>
                <w:rFonts w:ascii="Arial" w:hAnsi="Arial" w:cs="Arial"/>
                <w:sz w:val="24"/>
                <w:szCs w:val="24"/>
              </w:rPr>
              <w:t>90.1</w:t>
            </w:r>
          </w:p>
        </w:tc>
      </w:tr>
      <w:tr w:rsidR="00C2066F" w:rsidRPr="00C2066F" w:rsidTr="00C2066F">
        <w:tc>
          <w:tcPr>
            <w:tcW w:w="2840" w:type="dxa"/>
            <w:shd w:val="clear" w:color="auto" w:fill="E5B8B7" w:themeFill="accent2" w:themeFillTint="66"/>
          </w:tcPr>
          <w:p w:rsidR="00C2066F" w:rsidRPr="00C2066F" w:rsidRDefault="00C2066F" w:rsidP="004D78D7">
            <w:pPr>
              <w:rPr>
                <w:rFonts w:ascii="Arial" w:hAnsi="Arial" w:cs="Arial"/>
                <w:sz w:val="24"/>
                <w:szCs w:val="24"/>
              </w:rPr>
            </w:pPr>
            <w:r w:rsidRPr="00C2066F">
              <w:rPr>
                <w:rFonts w:ascii="Arial" w:hAnsi="Arial" w:cs="Arial"/>
                <w:sz w:val="24"/>
                <w:szCs w:val="24"/>
              </w:rPr>
              <w:t>Attainment</w:t>
            </w:r>
          </w:p>
        </w:tc>
        <w:tc>
          <w:tcPr>
            <w:tcW w:w="2841" w:type="dxa"/>
          </w:tcPr>
          <w:p w:rsidR="00C2066F" w:rsidRPr="00C2066F" w:rsidRDefault="00C2066F" w:rsidP="004D78D7">
            <w:pPr>
              <w:rPr>
                <w:rFonts w:ascii="Arial" w:hAnsi="Arial" w:cs="Arial"/>
                <w:sz w:val="24"/>
                <w:szCs w:val="24"/>
              </w:rPr>
            </w:pPr>
            <w:r w:rsidRPr="00C2066F">
              <w:rPr>
                <w:rFonts w:ascii="Arial" w:hAnsi="Arial" w:cs="Arial"/>
                <w:sz w:val="24"/>
                <w:szCs w:val="24"/>
              </w:rPr>
              <w:t>89.0</w:t>
            </w:r>
          </w:p>
        </w:tc>
        <w:tc>
          <w:tcPr>
            <w:tcW w:w="2841" w:type="dxa"/>
          </w:tcPr>
          <w:p w:rsidR="00C2066F" w:rsidRPr="00C2066F" w:rsidRDefault="00C2066F" w:rsidP="004D78D7">
            <w:pPr>
              <w:rPr>
                <w:rFonts w:ascii="Arial" w:hAnsi="Arial" w:cs="Arial"/>
                <w:sz w:val="24"/>
                <w:szCs w:val="24"/>
              </w:rPr>
            </w:pPr>
            <w:r w:rsidRPr="00C2066F">
              <w:rPr>
                <w:rFonts w:ascii="Arial" w:hAnsi="Arial" w:cs="Arial"/>
                <w:sz w:val="24"/>
                <w:szCs w:val="24"/>
              </w:rPr>
              <w:t>80.9</w:t>
            </w:r>
          </w:p>
        </w:tc>
      </w:tr>
      <w:tr w:rsidR="00C2066F" w:rsidRPr="00C2066F" w:rsidTr="00C2066F">
        <w:tc>
          <w:tcPr>
            <w:tcW w:w="2840" w:type="dxa"/>
            <w:shd w:val="clear" w:color="auto" w:fill="E5B8B7" w:themeFill="accent2" w:themeFillTint="66"/>
          </w:tcPr>
          <w:p w:rsidR="00C2066F" w:rsidRPr="00C2066F" w:rsidRDefault="00C2066F" w:rsidP="004D78D7">
            <w:pPr>
              <w:rPr>
                <w:rFonts w:ascii="Arial" w:hAnsi="Arial" w:cs="Arial"/>
                <w:sz w:val="24"/>
                <w:szCs w:val="24"/>
              </w:rPr>
            </w:pPr>
            <w:r w:rsidRPr="00C2066F">
              <w:rPr>
                <w:rFonts w:ascii="Arial" w:hAnsi="Arial" w:cs="Arial"/>
                <w:sz w:val="24"/>
                <w:szCs w:val="24"/>
              </w:rPr>
              <w:t>Success</w:t>
            </w:r>
          </w:p>
        </w:tc>
        <w:tc>
          <w:tcPr>
            <w:tcW w:w="2841" w:type="dxa"/>
          </w:tcPr>
          <w:p w:rsidR="00C2066F" w:rsidRPr="00C2066F" w:rsidRDefault="00C2066F" w:rsidP="004D78D7">
            <w:pPr>
              <w:rPr>
                <w:rFonts w:ascii="Arial" w:hAnsi="Arial" w:cs="Arial"/>
                <w:sz w:val="24"/>
                <w:szCs w:val="24"/>
              </w:rPr>
            </w:pPr>
            <w:r w:rsidRPr="00C2066F">
              <w:rPr>
                <w:rFonts w:ascii="Arial" w:hAnsi="Arial" w:cs="Arial"/>
                <w:sz w:val="24"/>
                <w:szCs w:val="24"/>
              </w:rPr>
              <w:t>85.1</w:t>
            </w:r>
          </w:p>
        </w:tc>
        <w:tc>
          <w:tcPr>
            <w:tcW w:w="2841" w:type="dxa"/>
          </w:tcPr>
          <w:p w:rsidR="00C2066F" w:rsidRPr="00C2066F" w:rsidRDefault="00C2066F" w:rsidP="004D78D7">
            <w:pPr>
              <w:rPr>
                <w:rFonts w:ascii="Arial" w:hAnsi="Arial" w:cs="Arial"/>
                <w:sz w:val="24"/>
                <w:szCs w:val="24"/>
              </w:rPr>
            </w:pPr>
            <w:r w:rsidRPr="00C2066F">
              <w:rPr>
                <w:rFonts w:ascii="Arial" w:hAnsi="Arial" w:cs="Arial"/>
                <w:sz w:val="24"/>
                <w:szCs w:val="24"/>
              </w:rPr>
              <w:t>72.8</w:t>
            </w:r>
          </w:p>
        </w:tc>
      </w:tr>
    </w:tbl>
    <w:p w:rsidR="0082585E" w:rsidRPr="00CC7848" w:rsidRDefault="0082585E" w:rsidP="0082585E">
      <w:pPr>
        <w:rPr>
          <w:rFonts w:ascii="Arial" w:hAnsi="Arial" w:cs="Arial"/>
          <w:sz w:val="24"/>
          <w:szCs w:val="24"/>
        </w:rPr>
      </w:pPr>
    </w:p>
    <w:p w:rsidR="0082585E" w:rsidRDefault="0082585E" w:rsidP="0082585E">
      <w:pPr>
        <w:rPr>
          <w:rFonts w:ascii="Arial" w:hAnsi="Arial" w:cs="Arial"/>
        </w:rPr>
      </w:pPr>
    </w:p>
    <w:p w:rsidR="0082585E" w:rsidRDefault="00C2066F" w:rsidP="00C2066F">
      <w:pPr>
        <w:jc w:val="center"/>
        <w:rPr>
          <w:rFonts w:ascii="Arial" w:hAnsi="Arial" w:cs="Arial"/>
        </w:rPr>
      </w:pPr>
      <w:r w:rsidRPr="00C2066F">
        <w:rPr>
          <w:rFonts w:ascii="Arial" w:hAnsi="Arial" w:cs="Arial"/>
          <w:noProof/>
        </w:rPr>
        <w:drawing>
          <wp:inline distT="0" distB="0" distL="0" distR="0">
            <wp:extent cx="4762500" cy="3057525"/>
            <wp:effectExtent l="0" t="0" r="0" b="0"/>
            <wp:docPr id="9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82585E" w:rsidRDefault="0082585E" w:rsidP="0082585E">
      <w:pPr>
        <w:rPr>
          <w:rFonts w:ascii="Arial" w:hAnsi="Arial" w:cs="Arial"/>
        </w:rPr>
      </w:pPr>
    </w:p>
    <w:p w:rsidR="00C2066F" w:rsidRPr="00C2066F" w:rsidRDefault="00C2066F" w:rsidP="00C2066F">
      <w:pPr>
        <w:rPr>
          <w:rFonts w:ascii="Arial" w:hAnsi="Arial" w:cs="Arial"/>
          <w:sz w:val="24"/>
          <w:szCs w:val="24"/>
        </w:rPr>
      </w:pPr>
      <w:r w:rsidRPr="00C2066F">
        <w:rPr>
          <w:rFonts w:ascii="Arial" w:hAnsi="Arial" w:cs="Arial"/>
          <w:sz w:val="24"/>
          <w:szCs w:val="24"/>
        </w:rPr>
        <w:t xml:space="preserve">It can be seen that the retention, attainment and success of females in receipt of free meals slightly exceeds that of females who are not in receipt of free meals. </w:t>
      </w:r>
    </w:p>
    <w:p w:rsidR="00C2066F" w:rsidRPr="00C2066F" w:rsidRDefault="00C2066F" w:rsidP="00C2066F">
      <w:pPr>
        <w:rPr>
          <w:rFonts w:ascii="Arial" w:hAnsi="Arial" w:cs="Arial"/>
          <w:sz w:val="24"/>
          <w:szCs w:val="24"/>
        </w:rPr>
      </w:pPr>
    </w:p>
    <w:p w:rsidR="00C2066F" w:rsidRPr="00C2066F" w:rsidRDefault="00C2066F" w:rsidP="00C2066F">
      <w:pPr>
        <w:rPr>
          <w:rFonts w:ascii="Arial" w:hAnsi="Arial" w:cs="Arial"/>
          <w:sz w:val="24"/>
          <w:szCs w:val="24"/>
        </w:rPr>
      </w:pPr>
      <w:r w:rsidRPr="00C2066F">
        <w:rPr>
          <w:rFonts w:ascii="Arial" w:hAnsi="Arial" w:cs="Arial"/>
          <w:sz w:val="24"/>
          <w:szCs w:val="24"/>
        </w:rPr>
        <w:t xml:space="preserve">It is also possible to compare the retention, attainment and success of </w:t>
      </w:r>
      <w:r w:rsidRPr="00611124">
        <w:rPr>
          <w:rFonts w:ascii="Arial" w:hAnsi="Arial" w:cs="Arial"/>
          <w:b/>
          <w:sz w:val="24"/>
          <w:szCs w:val="24"/>
        </w:rPr>
        <w:t>all</w:t>
      </w:r>
      <w:r w:rsidR="00611124">
        <w:rPr>
          <w:rFonts w:ascii="Arial" w:hAnsi="Arial" w:cs="Arial"/>
          <w:sz w:val="24"/>
          <w:szCs w:val="24"/>
        </w:rPr>
        <w:t xml:space="preserve"> learners in receipt o</w:t>
      </w:r>
      <w:r w:rsidRPr="00C2066F">
        <w:rPr>
          <w:rFonts w:ascii="Arial" w:hAnsi="Arial" w:cs="Arial"/>
          <w:sz w:val="24"/>
          <w:szCs w:val="24"/>
        </w:rPr>
        <w:t xml:space="preserve">f free meals compared to those who are not in receipt of free meals. </w:t>
      </w:r>
    </w:p>
    <w:p w:rsidR="00C2066F" w:rsidRDefault="00C2066F" w:rsidP="00C2066F">
      <w:pPr>
        <w:rPr>
          <w:rFonts w:ascii="Arial" w:hAnsi="Arial" w:cs="Arial"/>
          <w:sz w:val="24"/>
          <w:szCs w:val="24"/>
        </w:rPr>
      </w:pPr>
    </w:p>
    <w:p w:rsidR="00C2066F" w:rsidRDefault="00C2066F" w:rsidP="00C2066F">
      <w:pPr>
        <w:rPr>
          <w:rFonts w:ascii="Arial" w:hAnsi="Arial" w:cs="Arial"/>
          <w:sz w:val="24"/>
          <w:szCs w:val="24"/>
        </w:rPr>
      </w:pPr>
    </w:p>
    <w:p w:rsidR="0046034A" w:rsidRPr="00C2066F" w:rsidRDefault="0046034A" w:rsidP="00C2066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C2066F" w:rsidRPr="00C2066F" w:rsidTr="00C2066F">
        <w:tc>
          <w:tcPr>
            <w:tcW w:w="2840" w:type="dxa"/>
            <w:tcBorders>
              <w:bottom w:val="single" w:sz="4" w:space="0" w:color="auto"/>
            </w:tcBorders>
            <w:shd w:val="clear" w:color="auto" w:fill="E5B8B7" w:themeFill="accent2" w:themeFillTint="66"/>
          </w:tcPr>
          <w:p w:rsidR="00C2066F" w:rsidRPr="00C2066F" w:rsidRDefault="00C2066F" w:rsidP="004D78D7">
            <w:pPr>
              <w:rPr>
                <w:rFonts w:ascii="Arial" w:hAnsi="Arial" w:cs="Arial"/>
                <w:sz w:val="24"/>
                <w:szCs w:val="24"/>
              </w:rPr>
            </w:pPr>
          </w:p>
        </w:tc>
        <w:tc>
          <w:tcPr>
            <w:tcW w:w="2841" w:type="dxa"/>
            <w:shd w:val="clear" w:color="auto" w:fill="E5B8B7" w:themeFill="accent2" w:themeFillTint="66"/>
          </w:tcPr>
          <w:p w:rsidR="00C2066F" w:rsidRPr="00C2066F" w:rsidRDefault="00C2066F" w:rsidP="004D78D7">
            <w:pPr>
              <w:rPr>
                <w:rFonts w:ascii="Arial" w:hAnsi="Arial" w:cs="Arial"/>
                <w:sz w:val="24"/>
                <w:szCs w:val="24"/>
              </w:rPr>
            </w:pPr>
            <w:r w:rsidRPr="00C2066F">
              <w:rPr>
                <w:rFonts w:ascii="Arial" w:hAnsi="Arial" w:cs="Arial"/>
                <w:sz w:val="24"/>
                <w:szCs w:val="24"/>
              </w:rPr>
              <w:t>Learners in receipt of free meals (%)</w:t>
            </w:r>
          </w:p>
        </w:tc>
        <w:tc>
          <w:tcPr>
            <w:tcW w:w="2841" w:type="dxa"/>
            <w:shd w:val="clear" w:color="auto" w:fill="E5B8B7" w:themeFill="accent2" w:themeFillTint="66"/>
          </w:tcPr>
          <w:p w:rsidR="00C2066F" w:rsidRPr="00C2066F" w:rsidRDefault="00C2066F" w:rsidP="004D78D7">
            <w:pPr>
              <w:rPr>
                <w:rFonts w:ascii="Arial" w:hAnsi="Arial" w:cs="Arial"/>
                <w:sz w:val="24"/>
                <w:szCs w:val="24"/>
              </w:rPr>
            </w:pPr>
            <w:r w:rsidRPr="00C2066F">
              <w:rPr>
                <w:rFonts w:ascii="Arial" w:hAnsi="Arial" w:cs="Arial"/>
                <w:sz w:val="24"/>
                <w:szCs w:val="24"/>
              </w:rPr>
              <w:t xml:space="preserve">Learners not in receipt of free meals (%) </w:t>
            </w:r>
          </w:p>
        </w:tc>
      </w:tr>
      <w:tr w:rsidR="00C2066F" w:rsidRPr="00C2066F" w:rsidTr="00C2066F">
        <w:tc>
          <w:tcPr>
            <w:tcW w:w="2840" w:type="dxa"/>
            <w:shd w:val="clear" w:color="auto" w:fill="E5B8B7" w:themeFill="accent2" w:themeFillTint="66"/>
          </w:tcPr>
          <w:p w:rsidR="00C2066F" w:rsidRPr="00C2066F" w:rsidRDefault="00C2066F" w:rsidP="004D78D7">
            <w:pPr>
              <w:rPr>
                <w:rFonts w:ascii="Arial" w:hAnsi="Arial" w:cs="Arial"/>
                <w:sz w:val="24"/>
                <w:szCs w:val="24"/>
              </w:rPr>
            </w:pPr>
            <w:r w:rsidRPr="00C2066F">
              <w:rPr>
                <w:rFonts w:ascii="Arial" w:hAnsi="Arial" w:cs="Arial"/>
                <w:sz w:val="24"/>
                <w:szCs w:val="24"/>
              </w:rPr>
              <w:t>Retention</w:t>
            </w:r>
          </w:p>
        </w:tc>
        <w:tc>
          <w:tcPr>
            <w:tcW w:w="2841" w:type="dxa"/>
          </w:tcPr>
          <w:p w:rsidR="00C2066F" w:rsidRPr="00C2066F" w:rsidRDefault="00C2066F" w:rsidP="004D78D7">
            <w:pPr>
              <w:rPr>
                <w:rFonts w:ascii="Arial" w:hAnsi="Arial" w:cs="Arial"/>
                <w:sz w:val="24"/>
                <w:szCs w:val="24"/>
              </w:rPr>
            </w:pPr>
            <w:r w:rsidRPr="00C2066F">
              <w:rPr>
                <w:rFonts w:ascii="Arial" w:hAnsi="Arial" w:cs="Arial"/>
                <w:sz w:val="24"/>
                <w:szCs w:val="24"/>
              </w:rPr>
              <w:t>94.4</w:t>
            </w:r>
          </w:p>
        </w:tc>
        <w:tc>
          <w:tcPr>
            <w:tcW w:w="2841" w:type="dxa"/>
          </w:tcPr>
          <w:p w:rsidR="00C2066F" w:rsidRPr="00C2066F" w:rsidRDefault="00C2066F" w:rsidP="004D78D7">
            <w:pPr>
              <w:rPr>
                <w:rFonts w:ascii="Arial" w:hAnsi="Arial" w:cs="Arial"/>
                <w:sz w:val="24"/>
                <w:szCs w:val="24"/>
              </w:rPr>
            </w:pPr>
            <w:r w:rsidRPr="00C2066F">
              <w:rPr>
                <w:rFonts w:ascii="Arial" w:hAnsi="Arial" w:cs="Arial"/>
                <w:sz w:val="24"/>
                <w:szCs w:val="24"/>
              </w:rPr>
              <w:t>90.6</w:t>
            </w:r>
          </w:p>
        </w:tc>
      </w:tr>
      <w:tr w:rsidR="00C2066F" w:rsidRPr="00C2066F" w:rsidTr="00C2066F">
        <w:tc>
          <w:tcPr>
            <w:tcW w:w="2840" w:type="dxa"/>
            <w:shd w:val="clear" w:color="auto" w:fill="E5B8B7" w:themeFill="accent2" w:themeFillTint="66"/>
          </w:tcPr>
          <w:p w:rsidR="00C2066F" w:rsidRPr="00C2066F" w:rsidRDefault="00C2066F" w:rsidP="004D78D7">
            <w:pPr>
              <w:rPr>
                <w:rFonts w:ascii="Arial" w:hAnsi="Arial" w:cs="Arial"/>
                <w:sz w:val="24"/>
                <w:szCs w:val="24"/>
              </w:rPr>
            </w:pPr>
            <w:r w:rsidRPr="00C2066F">
              <w:rPr>
                <w:rFonts w:ascii="Arial" w:hAnsi="Arial" w:cs="Arial"/>
                <w:sz w:val="24"/>
                <w:szCs w:val="24"/>
              </w:rPr>
              <w:t>Attainment</w:t>
            </w:r>
          </w:p>
        </w:tc>
        <w:tc>
          <w:tcPr>
            <w:tcW w:w="2841" w:type="dxa"/>
          </w:tcPr>
          <w:p w:rsidR="00C2066F" w:rsidRPr="00C2066F" w:rsidRDefault="00C2066F" w:rsidP="004D78D7">
            <w:pPr>
              <w:rPr>
                <w:rFonts w:ascii="Arial" w:hAnsi="Arial" w:cs="Arial"/>
                <w:sz w:val="24"/>
                <w:szCs w:val="24"/>
              </w:rPr>
            </w:pPr>
            <w:r w:rsidRPr="00C2066F">
              <w:rPr>
                <w:rFonts w:ascii="Arial" w:hAnsi="Arial" w:cs="Arial"/>
                <w:sz w:val="24"/>
                <w:szCs w:val="24"/>
              </w:rPr>
              <w:t>87.1</w:t>
            </w:r>
          </w:p>
        </w:tc>
        <w:tc>
          <w:tcPr>
            <w:tcW w:w="2841" w:type="dxa"/>
          </w:tcPr>
          <w:p w:rsidR="00C2066F" w:rsidRPr="00C2066F" w:rsidRDefault="00C2066F" w:rsidP="004D78D7">
            <w:pPr>
              <w:rPr>
                <w:rFonts w:ascii="Arial" w:hAnsi="Arial" w:cs="Arial"/>
                <w:sz w:val="24"/>
                <w:szCs w:val="24"/>
              </w:rPr>
            </w:pPr>
            <w:r w:rsidRPr="00C2066F">
              <w:rPr>
                <w:rFonts w:ascii="Arial" w:hAnsi="Arial" w:cs="Arial"/>
                <w:sz w:val="24"/>
                <w:szCs w:val="24"/>
              </w:rPr>
              <w:t>81.7</w:t>
            </w:r>
          </w:p>
        </w:tc>
      </w:tr>
      <w:tr w:rsidR="00C2066F" w:rsidRPr="00C2066F" w:rsidTr="00C2066F">
        <w:tc>
          <w:tcPr>
            <w:tcW w:w="2840" w:type="dxa"/>
            <w:shd w:val="clear" w:color="auto" w:fill="E5B8B7" w:themeFill="accent2" w:themeFillTint="66"/>
          </w:tcPr>
          <w:p w:rsidR="00C2066F" w:rsidRPr="00C2066F" w:rsidRDefault="00C2066F" w:rsidP="004D78D7">
            <w:pPr>
              <w:rPr>
                <w:rFonts w:ascii="Arial" w:hAnsi="Arial" w:cs="Arial"/>
                <w:sz w:val="24"/>
                <w:szCs w:val="24"/>
              </w:rPr>
            </w:pPr>
            <w:r w:rsidRPr="00C2066F">
              <w:rPr>
                <w:rFonts w:ascii="Arial" w:hAnsi="Arial" w:cs="Arial"/>
                <w:sz w:val="24"/>
                <w:szCs w:val="24"/>
              </w:rPr>
              <w:t>Success</w:t>
            </w:r>
          </w:p>
        </w:tc>
        <w:tc>
          <w:tcPr>
            <w:tcW w:w="2841" w:type="dxa"/>
          </w:tcPr>
          <w:p w:rsidR="00C2066F" w:rsidRPr="00C2066F" w:rsidRDefault="00C2066F" w:rsidP="004D78D7">
            <w:pPr>
              <w:rPr>
                <w:rFonts w:ascii="Arial" w:hAnsi="Arial" w:cs="Arial"/>
                <w:sz w:val="24"/>
                <w:szCs w:val="24"/>
              </w:rPr>
            </w:pPr>
            <w:r w:rsidRPr="00C2066F">
              <w:rPr>
                <w:rFonts w:ascii="Arial" w:hAnsi="Arial" w:cs="Arial"/>
                <w:sz w:val="24"/>
                <w:szCs w:val="24"/>
              </w:rPr>
              <w:t>82.2</w:t>
            </w:r>
          </w:p>
        </w:tc>
        <w:tc>
          <w:tcPr>
            <w:tcW w:w="2841" w:type="dxa"/>
          </w:tcPr>
          <w:p w:rsidR="00C2066F" w:rsidRPr="00C2066F" w:rsidRDefault="00C2066F" w:rsidP="004D78D7">
            <w:pPr>
              <w:rPr>
                <w:rFonts w:ascii="Arial" w:hAnsi="Arial" w:cs="Arial"/>
                <w:sz w:val="24"/>
                <w:szCs w:val="24"/>
              </w:rPr>
            </w:pPr>
            <w:r w:rsidRPr="00C2066F">
              <w:rPr>
                <w:rFonts w:ascii="Arial" w:hAnsi="Arial" w:cs="Arial"/>
                <w:sz w:val="24"/>
                <w:szCs w:val="24"/>
              </w:rPr>
              <w:t>74.0</w:t>
            </w:r>
          </w:p>
        </w:tc>
      </w:tr>
    </w:tbl>
    <w:p w:rsidR="0082585E" w:rsidRPr="00C2066F" w:rsidRDefault="0082585E" w:rsidP="0082585E">
      <w:pPr>
        <w:rPr>
          <w:rFonts w:ascii="Arial" w:hAnsi="Arial" w:cs="Arial"/>
          <w:sz w:val="24"/>
          <w:szCs w:val="24"/>
        </w:rPr>
      </w:pPr>
    </w:p>
    <w:p w:rsidR="0082585E" w:rsidRDefault="00C2066F" w:rsidP="00C2066F">
      <w:pPr>
        <w:jc w:val="center"/>
        <w:rPr>
          <w:rFonts w:ascii="Arial" w:hAnsi="Arial" w:cs="Arial"/>
          <w:sz w:val="24"/>
          <w:szCs w:val="24"/>
        </w:rPr>
      </w:pPr>
      <w:r w:rsidRPr="00C2066F">
        <w:rPr>
          <w:rFonts w:ascii="Arial" w:hAnsi="Arial" w:cs="Arial"/>
          <w:noProof/>
          <w:sz w:val="24"/>
          <w:szCs w:val="24"/>
        </w:rPr>
        <w:drawing>
          <wp:inline distT="0" distB="0" distL="0" distR="0">
            <wp:extent cx="4905375" cy="3286125"/>
            <wp:effectExtent l="0" t="0" r="0" b="0"/>
            <wp:docPr id="9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46034A" w:rsidRPr="00C2066F" w:rsidRDefault="0046034A" w:rsidP="00C2066F">
      <w:pPr>
        <w:jc w:val="center"/>
        <w:rPr>
          <w:rFonts w:ascii="Arial" w:hAnsi="Arial" w:cs="Arial"/>
          <w:sz w:val="24"/>
          <w:szCs w:val="24"/>
        </w:rPr>
      </w:pPr>
    </w:p>
    <w:p w:rsidR="00C2066F" w:rsidRPr="00C2066F" w:rsidRDefault="00C2066F" w:rsidP="00C2066F">
      <w:pPr>
        <w:rPr>
          <w:rFonts w:ascii="Arial" w:hAnsi="Arial" w:cs="Arial"/>
          <w:sz w:val="24"/>
          <w:szCs w:val="24"/>
        </w:rPr>
      </w:pPr>
      <w:r w:rsidRPr="00C2066F">
        <w:rPr>
          <w:rFonts w:ascii="Arial" w:hAnsi="Arial" w:cs="Arial"/>
          <w:sz w:val="24"/>
          <w:szCs w:val="24"/>
        </w:rPr>
        <w:t>It can be seen that the retention, attainment and success of learners in receipt of free meals exceeds that of learners</w:t>
      </w:r>
      <w:r>
        <w:rPr>
          <w:rFonts w:ascii="Arial" w:hAnsi="Arial" w:cs="Arial"/>
          <w:sz w:val="24"/>
          <w:szCs w:val="24"/>
        </w:rPr>
        <w:t xml:space="preserve"> not in receipt of free meals. </w:t>
      </w:r>
    </w:p>
    <w:p w:rsidR="00C2066F" w:rsidRPr="00C2066F" w:rsidRDefault="00C2066F" w:rsidP="00C2066F">
      <w:pPr>
        <w:rPr>
          <w:rFonts w:ascii="Arial" w:hAnsi="Arial" w:cs="Arial"/>
          <w:sz w:val="24"/>
          <w:szCs w:val="24"/>
        </w:rPr>
      </w:pPr>
      <w:r w:rsidRPr="00C2066F">
        <w:rPr>
          <w:rFonts w:ascii="Arial" w:hAnsi="Arial" w:cs="Arial"/>
          <w:sz w:val="24"/>
          <w:szCs w:val="24"/>
        </w:rPr>
        <w:t xml:space="preserve">Approximately 8.9% of all </w:t>
      </w:r>
      <w:r w:rsidR="00C41E9E">
        <w:rPr>
          <w:rFonts w:ascii="Arial" w:hAnsi="Arial" w:cs="Arial"/>
          <w:sz w:val="24"/>
          <w:szCs w:val="24"/>
        </w:rPr>
        <w:t>C</w:t>
      </w:r>
      <w:r w:rsidRPr="00C2066F">
        <w:rPr>
          <w:rFonts w:ascii="Arial" w:hAnsi="Arial" w:cs="Arial"/>
          <w:sz w:val="24"/>
          <w:szCs w:val="24"/>
        </w:rPr>
        <w:t>ollege enrolments are attributed to lear</w:t>
      </w:r>
      <w:r>
        <w:rPr>
          <w:rFonts w:ascii="Arial" w:hAnsi="Arial" w:cs="Arial"/>
          <w:sz w:val="24"/>
          <w:szCs w:val="24"/>
        </w:rPr>
        <w:t xml:space="preserve">ners in receipt of free meals. </w:t>
      </w:r>
    </w:p>
    <w:p w:rsidR="00C2066F" w:rsidRPr="00C2066F" w:rsidRDefault="00C2066F" w:rsidP="00C2066F">
      <w:pPr>
        <w:rPr>
          <w:rFonts w:ascii="Arial" w:hAnsi="Arial" w:cs="Arial"/>
          <w:sz w:val="24"/>
          <w:szCs w:val="24"/>
        </w:rPr>
      </w:pPr>
      <w:r w:rsidRPr="00C2066F">
        <w:rPr>
          <w:rFonts w:ascii="Arial" w:hAnsi="Arial" w:cs="Arial"/>
          <w:sz w:val="24"/>
          <w:szCs w:val="24"/>
        </w:rPr>
        <w:t xml:space="preserve">The </w:t>
      </w:r>
      <w:r w:rsidR="00C41E9E">
        <w:rPr>
          <w:rFonts w:ascii="Arial" w:hAnsi="Arial" w:cs="Arial"/>
          <w:sz w:val="24"/>
          <w:szCs w:val="24"/>
        </w:rPr>
        <w:t>S</w:t>
      </w:r>
      <w:r w:rsidRPr="00C2066F">
        <w:rPr>
          <w:rFonts w:ascii="Arial" w:hAnsi="Arial" w:cs="Arial"/>
          <w:sz w:val="24"/>
          <w:szCs w:val="24"/>
        </w:rPr>
        <w:t>chool with the highest percentage of learners in receipt of free meals is the Sch</w:t>
      </w:r>
      <w:r>
        <w:rPr>
          <w:rFonts w:ascii="Arial" w:hAnsi="Arial" w:cs="Arial"/>
          <w:sz w:val="24"/>
          <w:szCs w:val="24"/>
        </w:rPr>
        <w:t>ool of Pre</w:t>
      </w:r>
      <w:r w:rsidR="00C41E9E">
        <w:rPr>
          <w:rFonts w:ascii="Arial" w:hAnsi="Arial" w:cs="Arial"/>
          <w:sz w:val="24"/>
          <w:szCs w:val="24"/>
        </w:rPr>
        <w:t>-</w:t>
      </w:r>
      <w:r>
        <w:rPr>
          <w:rFonts w:ascii="Arial" w:hAnsi="Arial" w:cs="Arial"/>
          <w:sz w:val="24"/>
          <w:szCs w:val="24"/>
        </w:rPr>
        <w:t xml:space="preserve">Vocational Studies. </w:t>
      </w:r>
    </w:p>
    <w:p w:rsidR="00C2066F" w:rsidRPr="00C2066F" w:rsidRDefault="00C2066F" w:rsidP="00C2066F">
      <w:pPr>
        <w:rPr>
          <w:rFonts w:ascii="Arial" w:hAnsi="Arial" w:cs="Arial"/>
          <w:sz w:val="24"/>
          <w:szCs w:val="24"/>
        </w:rPr>
      </w:pPr>
      <w:r w:rsidRPr="00C2066F">
        <w:rPr>
          <w:rFonts w:ascii="Arial" w:hAnsi="Arial" w:cs="Arial"/>
          <w:sz w:val="24"/>
          <w:szCs w:val="24"/>
        </w:rPr>
        <w:t>The retention, attainment and success of males in receipt of free meals exceeded that of their male counterparts who are not in receipt of free m</w:t>
      </w:r>
      <w:r>
        <w:rPr>
          <w:rFonts w:ascii="Arial" w:hAnsi="Arial" w:cs="Arial"/>
          <w:sz w:val="24"/>
          <w:szCs w:val="24"/>
        </w:rPr>
        <w:t>eals.</w:t>
      </w:r>
    </w:p>
    <w:p w:rsidR="00C2066F" w:rsidRPr="00C2066F" w:rsidRDefault="00C2066F" w:rsidP="00C2066F">
      <w:pPr>
        <w:rPr>
          <w:rFonts w:ascii="Arial" w:hAnsi="Arial" w:cs="Arial"/>
          <w:sz w:val="24"/>
          <w:szCs w:val="24"/>
        </w:rPr>
      </w:pPr>
      <w:r w:rsidRPr="00C2066F">
        <w:rPr>
          <w:rFonts w:ascii="Arial" w:hAnsi="Arial" w:cs="Arial"/>
          <w:sz w:val="24"/>
          <w:szCs w:val="24"/>
        </w:rPr>
        <w:t xml:space="preserve">The retention, attainment and success of females in receipt of free meals exceeded that of their female counterparts who are not in receipt of free meals. </w:t>
      </w:r>
    </w:p>
    <w:p w:rsidR="00C2066F" w:rsidRPr="00C2066F" w:rsidRDefault="00C2066F" w:rsidP="00C2066F">
      <w:pPr>
        <w:rPr>
          <w:rFonts w:ascii="Arial" w:hAnsi="Arial" w:cs="Arial"/>
          <w:sz w:val="24"/>
          <w:szCs w:val="24"/>
        </w:rPr>
      </w:pPr>
      <w:r w:rsidRPr="00C2066F">
        <w:rPr>
          <w:rFonts w:ascii="Arial" w:hAnsi="Arial" w:cs="Arial"/>
          <w:sz w:val="24"/>
          <w:szCs w:val="24"/>
        </w:rPr>
        <w:t>College wide, learners in receipt of free meals performed better than those who were not in receipt of free meals in 2009</w:t>
      </w:r>
      <w:r w:rsidR="00C41E9E">
        <w:rPr>
          <w:rFonts w:ascii="Arial" w:hAnsi="Arial" w:cs="Arial"/>
          <w:sz w:val="24"/>
          <w:szCs w:val="24"/>
        </w:rPr>
        <w:t>-2010</w:t>
      </w:r>
      <w:r w:rsidRPr="00C2066F">
        <w:rPr>
          <w:rFonts w:ascii="Arial" w:hAnsi="Arial" w:cs="Arial"/>
          <w:sz w:val="24"/>
          <w:szCs w:val="24"/>
        </w:rPr>
        <w:t xml:space="preserve">. </w:t>
      </w:r>
    </w:p>
    <w:p w:rsidR="00C2066F" w:rsidRPr="00C2066F" w:rsidRDefault="00EC665A" w:rsidP="00C2066F">
      <w:pPr>
        <w:rPr>
          <w:rFonts w:ascii="Arial" w:hAnsi="Arial" w:cs="Arial"/>
          <w:b/>
          <w:sz w:val="24"/>
          <w:szCs w:val="24"/>
        </w:rPr>
      </w:pPr>
      <w:r>
        <w:rPr>
          <w:rFonts w:ascii="Arial" w:hAnsi="Arial" w:cs="Arial"/>
          <w:b/>
          <w:sz w:val="24"/>
          <w:szCs w:val="24"/>
        </w:rPr>
        <w:t>Analysis of Data for L</w:t>
      </w:r>
      <w:r w:rsidR="00C2066F" w:rsidRPr="00C2066F">
        <w:rPr>
          <w:rFonts w:ascii="Arial" w:hAnsi="Arial" w:cs="Arial"/>
          <w:b/>
          <w:sz w:val="24"/>
          <w:szCs w:val="24"/>
        </w:rPr>
        <w:t>ea</w:t>
      </w:r>
      <w:r>
        <w:rPr>
          <w:rFonts w:ascii="Arial" w:hAnsi="Arial" w:cs="Arial"/>
          <w:b/>
          <w:sz w:val="24"/>
          <w:szCs w:val="24"/>
        </w:rPr>
        <w:t>rners with Criminal C</w:t>
      </w:r>
      <w:r w:rsidR="00C2066F">
        <w:rPr>
          <w:rFonts w:ascii="Arial" w:hAnsi="Arial" w:cs="Arial"/>
          <w:b/>
          <w:sz w:val="24"/>
          <w:szCs w:val="24"/>
        </w:rPr>
        <w:t>onvictions</w:t>
      </w:r>
    </w:p>
    <w:p w:rsidR="00C2066F" w:rsidRPr="00C2066F" w:rsidRDefault="00C2066F" w:rsidP="00C2066F">
      <w:pPr>
        <w:rPr>
          <w:rFonts w:ascii="Arial" w:hAnsi="Arial" w:cs="Arial"/>
          <w:sz w:val="24"/>
          <w:szCs w:val="24"/>
        </w:rPr>
      </w:pPr>
      <w:r w:rsidRPr="00C2066F">
        <w:rPr>
          <w:rFonts w:ascii="Arial" w:hAnsi="Arial" w:cs="Arial"/>
          <w:sz w:val="24"/>
          <w:szCs w:val="24"/>
        </w:rPr>
        <w:t>The College started holding data in 2009</w:t>
      </w:r>
      <w:r w:rsidR="00C41E9E">
        <w:rPr>
          <w:rFonts w:ascii="Arial" w:hAnsi="Arial" w:cs="Arial"/>
          <w:sz w:val="24"/>
          <w:szCs w:val="24"/>
        </w:rPr>
        <w:t>-2010</w:t>
      </w:r>
      <w:r w:rsidRPr="00C2066F">
        <w:rPr>
          <w:rFonts w:ascii="Arial" w:hAnsi="Arial" w:cs="Arial"/>
          <w:sz w:val="24"/>
          <w:szCs w:val="24"/>
        </w:rPr>
        <w:t xml:space="preserve"> for those learners enrolling who had previous criminal convictions. It is therefore possible to look at the retention, attainment and success of this grou</w:t>
      </w:r>
      <w:r>
        <w:rPr>
          <w:rFonts w:ascii="Arial" w:hAnsi="Arial" w:cs="Arial"/>
          <w:sz w:val="24"/>
          <w:szCs w:val="24"/>
        </w:rPr>
        <w:t xml:space="preserve">p of learners for this period. </w:t>
      </w:r>
    </w:p>
    <w:p w:rsidR="00C2066F" w:rsidRPr="00C2066F" w:rsidRDefault="00C2066F" w:rsidP="00C2066F">
      <w:pPr>
        <w:rPr>
          <w:rFonts w:ascii="Arial" w:hAnsi="Arial" w:cs="Arial"/>
          <w:sz w:val="24"/>
          <w:szCs w:val="24"/>
        </w:rPr>
      </w:pPr>
      <w:r w:rsidRPr="00C2066F">
        <w:rPr>
          <w:rFonts w:ascii="Arial" w:hAnsi="Arial" w:cs="Arial"/>
          <w:sz w:val="24"/>
          <w:szCs w:val="24"/>
        </w:rPr>
        <w:t>It was evident when the data was received from MIS that the number of total enrolments for this period for this data set when co</w:t>
      </w:r>
      <w:r w:rsidR="00297CCD">
        <w:rPr>
          <w:rFonts w:ascii="Arial" w:hAnsi="Arial" w:cs="Arial"/>
          <w:sz w:val="24"/>
          <w:szCs w:val="24"/>
        </w:rPr>
        <w:t>mpared to the other data sets such as gender, disabi</w:t>
      </w:r>
      <w:r w:rsidR="00E069AE">
        <w:rPr>
          <w:rFonts w:ascii="Arial" w:hAnsi="Arial" w:cs="Arial"/>
          <w:sz w:val="24"/>
          <w:szCs w:val="24"/>
        </w:rPr>
        <w:t>lity, ethnicity and Communities</w:t>
      </w:r>
      <w:r w:rsidR="00297CCD">
        <w:rPr>
          <w:rFonts w:ascii="Arial" w:hAnsi="Arial" w:cs="Arial"/>
          <w:sz w:val="24"/>
          <w:szCs w:val="24"/>
        </w:rPr>
        <w:t xml:space="preserve"> F</w:t>
      </w:r>
      <w:r w:rsidRPr="00C2066F">
        <w:rPr>
          <w:rFonts w:ascii="Arial" w:hAnsi="Arial" w:cs="Arial"/>
          <w:sz w:val="24"/>
          <w:szCs w:val="24"/>
        </w:rPr>
        <w:t>irst were different. The other data sets give a total number of enrolments for 2009-2010 as being 25</w:t>
      </w:r>
      <w:r w:rsidR="00C41E9E">
        <w:rPr>
          <w:rFonts w:ascii="Arial" w:hAnsi="Arial" w:cs="Arial"/>
          <w:sz w:val="24"/>
          <w:szCs w:val="24"/>
        </w:rPr>
        <w:t>,</w:t>
      </w:r>
      <w:r w:rsidRPr="00C2066F">
        <w:rPr>
          <w:rFonts w:ascii="Arial" w:hAnsi="Arial" w:cs="Arial"/>
          <w:sz w:val="24"/>
          <w:szCs w:val="24"/>
        </w:rPr>
        <w:t>047 but the criminal convictions data set gives a total number of enrolments as 25</w:t>
      </w:r>
      <w:r w:rsidR="00C41E9E">
        <w:rPr>
          <w:rFonts w:ascii="Arial" w:hAnsi="Arial" w:cs="Arial"/>
          <w:sz w:val="24"/>
          <w:szCs w:val="24"/>
        </w:rPr>
        <w:t>,</w:t>
      </w:r>
      <w:r w:rsidRPr="00C2066F">
        <w:rPr>
          <w:rFonts w:ascii="Arial" w:hAnsi="Arial" w:cs="Arial"/>
          <w:sz w:val="24"/>
          <w:szCs w:val="24"/>
        </w:rPr>
        <w:t>585. This equates to an additional 538 e</w:t>
      </w:r>
      <w:r w:rsidR="00297CCD">
        <w:rPr>
          <w:rFonts w:ascii="Arial" w:hAnsi="Arial" w:cs="Arial"/>
          <w:sz w:val="24"/>
          <w:szCs w:val="24"/>
        </w:rPr>
        <w:t>nrolments. On querying this with</w:t>
      </w:r>
      <w:r w:rsidRPr="00C2066F">
        <w:rPr>
          <w:rFonts w:ascii="Arial" w:hAnsi="Arial" w:cs="Arial"/>
          <w:sz w:val="24"/>
          <w:szCs w:val="24"/>
        </w:rPr>
        <w:t xml:space="preserve"> MIS</w:t>
      </w:r>
      <w:r w:rsidR="00C41E9E">
        <w:rPr>
          <w:rFonts w:ascii="Arial" w:hAnsi="Arial" w:cs="Arial"/>
          <w:sz w:val="24"/>
          <w:szCs w:val="24"/>
        </w:rPr>
        <w:t>,</w:t>
      </w:r>
      <w:r w:rsidRPr="00C2066F">
        <w:rPr>
          <w:rFonts w:ascii="Arial" w:hAnsi="Arial" w:cs="Arial"/>
          <w:sz w:val="24"/>
          <w:szCs w:val="24"/>
        </w:rPr>
        <w:t xml:space="preserve"> it appears that the data for 2009-</w:t>
      </w:r>
      <w:r w:rsidR="00C41E9E">
        <w:rPr>
          <w:rFonts w:ascii="Arial" w:hAnsi="Arial" w:cs="Arial"/>
          <w:sz w:val="24"/>
          <w:szCs w:val="24"/>
        </w:rPr>
        <w:t>20</w:t>
      </w:r>
      <w:r w:rsidRPr="00C2066F">
        <w:rPr>
          <w:rFonts w:ascii="Arial" w:hAnsi="Arial" w:cs="Arial"/>
          <w:sz w:val="24"/>
          <w:szCs w:val="24"/>
        </w:rPr>
        <w:t>10 has been “cleaned up” and this accounts for the difference in the number of</w:t>
      </w:r>
      <w:r>
        <w:rPr>
          <w:rFonts w:ascii="Arial" w:hAnsi="Arial" w:cs="Arial"/>
          <w:sz w:val="24"/>
          <w:szCs w:val="24"/>
        </w:rPr>
        <w:t xml:space="preserve"> enrolments between data sets. </w:t>
      </w:r>
    </w:p>
    <w:p w:rsidR="00C2066F" w:rsidRPr="00C2066F" w:rsidRDefault="00C2066F" w:rsidP="00C2066F">
      <w:pPr>
        <w:rPr>
          <w:rFonts w:ascii="Arial" w:hAnsi="Arial" w:cs="Arial"/>
          <w:sz w:val="24"/>
          <w:szCs w:val="24"/>
        </w:rPr>
      </w:pPr>
      <w:r w:rsidRPr="00C2066F">
        <w:rPr>
          <w:rFonts w:ascii="Arial" w:hAnsi="Arial" w:cs="Arial"/>
          <w:sz w:val="24"/>
          <w:szCs w:val="24"/>
        </w:rPr>
        <w:t>It is</w:t>
      </w:r>
      <w:r w:rsidR="00C41E9E">
        <w:rPr>
          <w:rFonts w:ascii="Arial" w:hAnsi="Arial" w:cs="Arial"/>
          <w:sz w:val="24"/>
          <w:szCs w:val="24"/>
        </w:rPr>
        <w:t>,</w:t>
      </w:r>
      <w:r w:rsidRPr="00C2066F">
        <w:rPr>
          <w:rFonts w:ascii="Arial" w:hAnsi="Arial" w:cs="Arial"/>
          <w:sz w:val="24"/>
          <w:szCs w:val="24"/>
        </w:rPr>
        <w:t xml:space="preserve"> therefore</w:t>
      </w:r>
      <w:r w:rsidR="00C41E9E">
        <w:rPr>
          <w:rFonts w:ascii="Arial" w:hAnsi="Arial" w:cs="Arial"/>
          <w:sz w:val="24"/>
          <w:szCs w:val="24"/>
        </w:rPr>
        <w:t xml:space="preserve">, </w:t>
      </w:r>
      <w:r w:rsidRPr="00C2066F">
        <w:rPr>
          <w:rFonts w:ascii="Arial" w:hAnsi="Arial" w:cs="Arial"/>
          <w:sz w:val="24"/>
          <w:szCs w:val="24"/>
        </w:rPr>
        <w:t>important to note that if this project were to be continued in future years that the data must be frozen and all the information extracted in a fixed timescale to prevent th</w:t>
      </w:r>
      <w:r>
        <w:rPr>
          <w:rFonts w:ascii="Arial" w:hAnsi="Arial" w:cs="Arial"/>
          <w:sz w:val="24"/>
          <w:szCs w:val="24"/>
        </w:rPr>
        <w:t xml:space="preserve">e same difficulties occurring. </w:t>
      </w:r>
    </w:p>
    <w:p w:rsidR="00C2066F" w:rsidRPr="00C2066F" w:rsidRDefault="00C2066F" w:rsidP="00C2066F">
      <w:pPr>
        <w:rPr>
          <w:rFonts w:ascii="Arial" w:hAnsi="Arial" w:cs="Arial"/>
          <w:sz w:val="24"/>
          <w:szCs w:val="24"/>
        </w:rPr>
      </w:pPr>
      <w:r w:rsidRPr="00C2066F">
        <w:rPr>
          <w:rFonts w:ascii="Arial" w:hAnsi="Arial" w:cs="Arial"/>
          <w:sz w:val="24"/>
          <w:szCs w:val="24"/>
        </w:rPr>
        <w:t xml:space="preserve">Nevertheless, it was possible to produce an analysis of the data on learners with criminal convictions </w:t>
      </w:r>
      <w:r w:rsidR="00C41E9E">
        <w:rPr>
          <w:rFonts w:ascii="Arial" w:hAnsi="Arial" w:cs="Arial"/>
          <w:sz w:val="24"/>
          <w:szCs w:val="24"/>
        </w:rPr>
        <w:t xml:space="preserve">in </w:t>
      </w:r>
      <w:r w:rsidRPr="00C2066F">
        <w:rPr>
          <w:rFonts w:ascii="Arial" w:hAnsi="Arial" w:cs="Arial"/>
          <w:sz w:val="24"/>
          <w:szCs w:val="24"/>
        </w:rPr>
        <w:t>2009</w:t>
      </w:r>
      <w:r w:rsidR="00C41E9E">
        <w:rPr>
          <w:rFonts w:ascii="Arial" w:hAnsi="Arial" w:cs="Arial"/>
          <w:sz w:val="24"/>
          <w:szCs w:val="24"/>
        </w:rPr>
        <w:t>-2010</w:t>
      </w:r>
      <w:r w:rsidRPr="00C2066F">
        <w:rPr>
          <w:rFonts w:ascii="Arial" w:hAnsi="Arial" w:cs="Arial"/>
          <w:sz w:val="24"/>
          <w:szCs w:val="24"/>
        </w:rPr>
        <w:t>.</w:t>
      </w:r>
    </w:p>
    <w:p w:rsidR="00C2066F" w:rsidRPr="00C2066F" w:rsidRDefault="00C2066F" w:rsidP="00C2066F">
      <w:pPr>
        <w:rPr>
          <w:rFonts w:ascii="Arial" w:hAnsi="Arial" w:cs="Arial"/>
          <w:sz w:val="24"/>
          <w:szCs w:val="24"/>
        </w:rPr>
      </w:pPr>
      <w:r w:rsidRPr="00C2066F">
        <w:rPr>
          <w:rFonts w:ascii="Arial" w:hAnsi="Arial" w:cs="Arial"/>
          <w:sz w:val="24"/>
          <w:szCs w:val="24"/>
        </w:rPr>
        <w:t>In 2009</w:t>
      </w:r>
      <w:r w:rsidR="00C41E9E">
        <w:rPr>
          <w:rFonts w:ascii="Arial" w:hAnsi="Arial" w:cs="Arial"/>
          <w:sz w:val="24"/>
          <w:szCs w:val="24"/>
        </w:rPr>
        <w:t xml:space="preserve">-2010 </w:t>
      </w:r>
      <w:r w:rsidRPr="00C2066F">
        <w:rPr>
          <w:rFonts w:ascii="Arial" w:hAnsi="Arial" w:cs="Arial"/>
          <w:sz w:val="24"/>
          <w:szCs w:val="24"/>
        </w:rPr>
        <w:t xml:space="preserve">the number of enrolments attributed to learners with </w:t>
      </w:r>
      <w:r w:rsidR="00297CCD">
        <w:rPr>
          <w:rFonts w:ascii="Arial" w:hAnsi="Arial" w:cs="Arial"/>
          <w:sz w:val="24"/>
          <w:szCs w:val="24"/>
        </w:rPr>
        <w:t>criminal convictions is outlined</w:t>
      </w:r>
      <w:r w:rsidRPr="00C2066F">
        <w:rPr>
          <w:rFonts w:ascii="Arial" w:hAnsi="Arial" w:cs="Arial"/>
          <w:sz w:val="24"/>
          <w:szCs w:val="24"/>
        </w:rPr>
        <w:t xml:space="preserve"> below:</w:t>
      </w:r>
    </w:p>
    <w:p w:rsidR="00C2066F" w:rsidRPr="00C2066F" w:rsidRDefault="00C2066F" w:rsidP="00C2066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2292"/>
        <w:gridCol w:w="2302"/>
        <w:gridCol w:w="1846"/>
      </w:tblGrid>
      <w:tr w:rsidR="00C2066F" w:rsidRPr="00C2066F" w:rsidTr="00C2066F">
        <w:tc>
          <w:tcPr>
            <w:tcW w:w="2082" w:type="dxa"/>
            <w:tcBorders>
              <w:bottom w:val="single" w:sz="4" w:space="0" w:color="auto"/>
            </w:tcBorders>
            <w:shd w:val="clear" w:color="auto" w:fill="E5B8B7" w:themeFill="accent2" w:themeFillTint="66"/>
          </w:tcPr>
          <w:p w:rsidR="00C2066F" w:rsidRPr="00C2066F" w:rsidRDefault="00C2066F" w:rsidP="004D78D7">
            <w:pPr>
              <w:rPr>
                <w:rFonts w:ascii="Arial" w:hAnsi="Arial" w:cs="Arial"/>
                <w:sz w:val="24"/>
                <w:szCs w:val="24"/>
              </w:rPr>
            </w:pPr>
          </w:p>
        </w:tc>
        <w:tc>
          <w:tcPr>
            <w:tcW w:w="2292" w:type="dxa"/>
            <w:shd w:val="clear" w:color="auto" w:fill="E5B8B7" w:themeFill="accent2" w:themeFillTint="66"/>
          </w:tcPr>
          <w:p w:rsidR="00C2066F" w:rsidRPr="00C2066F" w:rsidRDefault="00C2066F" w:rsidP="004D78D7">
            <w:pPr>
              <w:rPr>
                <w:rFonts w:ascii="Arial" w:hAnsi="Arial" w:cs="Arial"/>
                <w:sz w:val="24"/>
                <w:szCs w:val="24"/>
              </w:rPr>
            </w:pPr>
            <w:r w:rsidRPr="00C2066F">
              <w:rPr>
                <w:rFonts w:ascii="Arial" w:hAnsi="Arial" w:cs="Arial"/>
                <w:sz w:val="24"/>
                <w:szCs w:val="24"/>
              </w:rPr>
              <w:t>Total number of enrolments</w:t>
            </w:r>
          </w:p>
        </w:tc>
        <w:tc>
          <w:tcPr>
            <w:tcW w:w="2302" w:type="dxa"/>
            <w:shd w:val="clear" w:color="auto" w:fill="E5B8B7" w:themeFill="accent2" w:themeFillTint="66"/>
          </w:tcPr>
          <w:p w:rsidR="00C2066F" w:rsidRPr="00C2066F" w:rsidRDefault="00C2066F" w:rsidP="004D78D7">
            <w:pPr>
              <w:rPr>
                <w:rFonts w:ascii="Arial" w:hAnsi="Arial" w:cs="Arial"/>
                <w:sz w:val="24"/>
                <w:szCs w:val="24"/>
              </w:rPr>
            </w:pPr>
            <w:r w:rsidRPr="00C2066F">
              <w:rPr>
                <w:rFonts w:ascii="Arial" w:hAnsi="Arial" w:cs="Arial"/>
                <w:sz w:val="24"/>
                <w:szCs w:val="24"/>
              </w:rPr>
              <w:t>Enrolments with criminal convictions</w:t>
            </w:r>
          </w:p>
        </w:tc>
        <w:tc>
          <w:tcPr>
            <w:tcW w:w="1846" w:type="dxa"/>
            <w:shd w:val="clear" w:color="auto" w:fill="E5B8B7" w:themeFill="accent2" w:themeFillTint="66"/>
          </w:tcPr>
          <w:p w:rsidR="00C2066F" w:rsidRPr="00C2066F" w:rsidRDefault="00C2066F" w:rsidP="004D78D7">
            <w:pPr>
              <w:rPr>
                <w:rFonts w:ascii="Arial" w:hAnsi="Arial" w:cs="Arial"/>
                <w:sz w:val="24"/>
                <w:szCs w:val="24"/>
              </w:rPr>
            </w:pPr>
            <w:r w:rsidRPr="00C2066F">
              <w:rPr>
                <w:rFonts w:ascii="Arial" w:hAnsi="Arial" w:cs="Arial"/>
                <w:sz w:val="24"/>
                <w:szCs w:val="24"/>
              </w:rPr>
              <w:t>% of enrolments with criminal convictions</w:t>
            </w:r>
          </w:p>
        </w:tc>
      </w:tr>
      <w:tr w:rsidR="00C2066F" w:rsidRPr="00C2066F" w:rsidTr="00C2066F">
        <w:tc>
          <w:tcPr>
            <w:tcW w:w="2082" w:type="dxa"/>
            <w:shd w:val="clear" w:color="auto" w:fill="E5B8B7" w:themeFill="accent2" w:themeFillTint="66"/>
          </w:tcPr>
          <w:p w:rsidR="00C2066F" w:rsidRPr="00C2066F" w:rsidRDefault="00C2066F" w:rsidP="004D78D7">
            <w:pPr>
              <w:rPr>
                <w:rFonts w:ascii="Arial" w:hAnsi="Arial" w:cs="Arial"/>
                <w:sz w:val="24"/>
                <w:szCs w:val="24"/>
              </w:rPr>
            </w:pPr>
            <w:r w:rsidRPr="00C2066F">
              <w:rPr>
                <w:rFonts w:ascii="Arial" w:hAnsi="Arial" w:cs="Arial"/>
                <w:sz w:val="24"/>
                <w:szCs w:val="24"/>
              </w:rPr>
              <w:t>Males</w:t>
            </w:r>
          </w:p>
        </w:tc>
        <w:tc>
          <w:tcPr>
            <w:tcW w:w="2292" w:type="dxa"/>
          </w:tcPr>
          <w:p w:rsidR="00C2066F" w:rsidRPr="00C2066F" w:rsidRDefault="00C2066F" w:rsidP="004D78D7">
            <w:pPr>
              <w:rPr>
                <w:rFonts w:ascii="Arial" w:hAnsi="Arial" w:cs="Arial"/>
                <w:sz w:val="24"/>
                <w:szCs w:val="24"/>
              </w:rPr>
            </w:pPr>
            <w:r w:rsidRPr="00C2066F">
              <w:rPr>
                <w:rFonts w:ascii="Arial" w:hAnsi="Arial" w:cs="Arial"/>
                <w:sz w:val="24"/>
                <w:szCs w:val="24"/>
              </w:rPr>
              <w:t>12</w:t>
            </w:r>
            <w:r w:rsidR="00C41E9E">
              <w:rPr>
                <w:rFonts w:ascii="Arial" w:hAnsi="Arial" w:cs="Arial"/>
                <w:sz w:val="24"/>
                <w:szCs w:val="24"/>
              </w:rPr>
              <w:t>,</w:t>
            </w:r>
            <w:r w:rsidRPr="00C2066F">
              <w:rPr>
                <w:rFonts w:ascii="Arial" w:hAnsi="Arial" w:cs="Arial"/>
                <w:sz w:val="24"/>
                <w:szCs w:val="24"/>
              </w:rPr>
              <w:t>742</w:t>
            </w:r>
          </w:p>
        </w:tc>
        <w:tc>
          <w:tcPr>
            <w:tcW w:w="2302" w:type="dxa"/>
          </w:tcPr>
          <w:p w:rsidR="00C2066F" w:rsidRPr="00C2066F" w:rsidRDefault="00C2066F" w:rsidP="004D78D7">
            <w:pPr>
              <w:rPr>
                <w:rFonts w:ascii="Arial" w:hAnsi="Arial" w:cs="Arial"/>
                <w:sz w:val="24"/>
                <w:szCs w:val="24"/>
              </w:rPr>
            </w:pPr>
            <w:r w:rsidRPr="00C2066F">
              <w:rPr>
                <w:rFonts w:ascii="Arial" w:hAnsi="Arial" w:cs="Arial"/>
                <w:sz w:val="24"/>
                <w:szCs w:val="24"/>
              </w:rPr>
              <w:t>131</w:t>
            </w:r>
          </w:p>
        </w:tc>
        <w:tc>
          <w:tcPr>
            <w:tcW w:w="1846" w:type="dxa"/>
          </w:tcPr>
          <w:p w:rsidR="00C2066F" w:rsidRPr="00C2066F" w:rsidRDefault="00C2066F" w:rsidP="004D78D7">
            <w:pPr>
              <w:rPr>
                <w:rFonts w:ascii="Arial" w:hAnsi="Arial" w:cs="Arial"/>
                <w:sz w:val="24"/>
                <w:szCs w:val="24"/>
              </w:rPr>
            </w:pPr>
            <w:r w:rsidRPr="00C2066F">
              <w:rPr>
                <w:rFonts w:ascii="Arial" w:hAnsi="Arial" w:cs="Arial"/>
                <w:sz w:val="24"/>
                <w:szCs w:val="24"/>
              </w:rPr>
              <w:t>1.02%</w:t>
            </w:r>
          </w:p>
        </w:tc>
      </w:tr>
      <w:tr w:rsidR="00C2066F" w:rsidRPr="00C2066F" w:rsidTr="00C2066F">
        <w:tc>
          <w:tcPr>
            <w:tcW w:w="2082" w:type="dxa"/>
            <w:shd w:val="clear" w:color="auto" w:fill="E5B8B7" w:themeFill="accent2" w:themeFillTint="66"/>
          </w:tcPr>
          <w:p w:rsidR="00C2066F" w:rsidRPr="00C2066F" w:rsidRDefault="00C2066F" w:rsidP="004D78D7">
            <w:pPr>
              <w:rPr>
                <w:rFonts w:ascii="Arial" w:hAnsi="Arial" w:cs="Arial"/>
                <w:sz w:val="24"/>
                <w:szCs w:val="24"/>
              </w:rPr>
            </w:pPr>
            <w:r w:rsidRPr="00C2066F">
              <w:rPr>
                <w:rFonts w:ascii="Arial" w:hAnsi="Arial" w:cs="Arial"/>
                <w:sz w:val="24"/>
                <w:szCs w:val="24"/>
              </w:rPr>
              <w:t>Females</w:t>
            </w:r>
          </w:p>
        </w:tc>
        <w:tc>
          <w:tcPr>
            <w:tcW w:w="2292" w:type="dxa"/>
          </w:tcPr>
          <w:p w:rsidR="00C2066F" w:rsidRPr="00C2066F" w:rsidRDefault="00C2066F" w:rsidP="004D78D7">
            <w:pPr>
              <w:rPr>
                <w:rFonts w:ascii="Arial" w:hAnsi="Arial" w:cs="Arial"/>
                <w:sz w:val="24"/>
                <w:szCs w:val="24"/>
              </w:rPr>
            </w:pPr>
            <w:r w:rsidRPr="00C2066F">
              <w:rPr>
                <w:rFonts w:ascii="Arial" w:hAnsi="Arial" w:cs="Arial"/>
                <w:sz w:val="24"/>
                <w:szCs w:val="24"/>
              </w:rPr>
              <w:t>12</w:t>
            </w:r>
            <w:r w:rsidR="00C41E9E">
              <w:rPr>
                <w:rFonts w:ascii="Arial" w:hAnsi="Arial" w:cs="Arial"/>
                <w:sz w:val="24"/>
                <w:szCs w:val="24"/>
              </w:rPr>
              <w:t>,</w:t>
            </w:r>
            <w:r w:rsidRPr="00C2066F">
              <w:rPr>
                <w:rFonts w:ascii="Arial" w:hAnsi="Arial" w:cs="Arial"/>
                <w:sz w:val="24"/>
                <w:szCs w:val="24"/>
              </w:rPr>
              <w:t>661</w:t>
            </w:r>
          </w:p>
        </w:tc>
        <w:tc>
          <w:tcPr>
            <w:tcW w:w="2302" w:type="dxa"/>
          </w:tcPr>
          <w:p w:rsidR="00C2066F" w:rsidRPr="00C2066F" w:rsidRDefault="00C2066F" w:rsidP="004D78D7">
            <w:pPr>
              <w:rPr>
                <w:rFonts w:ascii="Arial" w:hAnsi="Arial" w:cs="Arial"/>
                <w:sz w:val="24"/>
                <w:szCs w:val="24"/>
              </w:rPr>
            </w:pPr>
            <w:r w:rsidRPr="00C2066F">
              <w:rPr>
                <w:rFonts w:ascii="Arial" w:hAnsi="Arial" w:cs="Arial"/>
                <w:sz w:val="24"/>
                <w:szCs w:val="24"/>
              </w:rPr>
              <w:t>51</w:t>
            </w:r>
          </w:p>
        </w:tc>
        <w:tc>
          <w:tcPr>
            <w:tcW w:w="1846" w:type="dxa"/>
          </w:tcPr>
          <w:p w:rsidR="00C2066F" w:rsidRPr="00C2066F" w:rsidRDefault="00C2066F" w:rsidP="004D78D7">
            <w:pPr>
              <w:rPr>
                <w:rFonts w:ascii="Arial" w:hAnsi="Arial" w:cs="Arial"/>
                <w:sz w:val="24"/>
                <w:szCs w:val="24"/>
              </w:rPr>
            </w:pPr>
            <w:r w:rsidRPr="00C2066F">
              <w:rPr>
                <w:rFonts w:ascii="Arial" w:hAnsi="Arial" w:cs="Arial"/>
                <w:sz w:val="24"/>
                <w:szCs w:val="24"/>
              </w:rPr>
              <w:t>0.40%</w:t>
            </w:r>
          </w:p>
        </w:tc>
      </w:tr>
      <w:tr w:rsidR="00C2066F" w:rsidRPr="00C2066F" w:rsidTr="00C2066F">
        <w:tc>
          <w:tcPr>
            <w:tcW w:w="2082" w:type="dxa"/>
            <w:shd w:val="clear" w:color="auto" w:fill="E5B8B7" w:themeFill="accent2" w:themeFillTint="66"/>
          </w:tcPr>
          <w:p w:rsidR="00C2066F" w:rsidRPr="00C2066F" w:rsidRDefault="00C2066F" w:rsidP="004D78D7">
            <w:pPr>
              <w:rPr>
                <w:rFonts w:ascii="Arial" w:hAnsi="Arial" w:cs="Arial"/>
                <w:sz w:val="24"/>
                <w:szCs w:val="24"/>
              </w:rPr>
            </w:pPr>
            <w:r w:rsidRPr="00C2066F">
              <w:rPr>
                <w:rFonts w:ascii="Arial" w:hAnsi="Arial" w:cs="Arial"/>
                <w:sz w:val="24"/>
                <w:szCs w:val="24"/>
              </w:rPr>
              <w:t>Total</w:t>
            </w:r>
          </w:p>
        </w:tc>
        <w:tc>
          <w:tcPr>
            <w:tcW w:w="2292" w:type="dxa"/>
          </w:tcPr>
          <w:p w:rsidR="00C2066F" w:rsidRPr="00C2066F" w:rsidRDefault="00C2066F" w:rsidP="004D78D7">
            <w:pPr>
              <w:rPr>
                <w:rFonts w:ascii="Arial" w:hAnsi="Arial" w:cs="Arial"/>
                <w:sz w:val="24"/>
                <w:szCs w:val="24"/>
              </w:rPr>
            </w:pPr>
            <w:r w:rsidRPr="00C2066F">
              <w:rPr>
                <w:rFonts w:ascii="Arial" w:hAnsi="Arial" w:cs="Arial"/>
                <w:sz w:val="24"/>
                <w:szCs w:val="24"/>
              </w:rPr>
              <w:t>25</w:t>
            </w:r>
            <w:r w:rsidR="00C41E9E">
              <w:rPr>
                <w:rFonts w:ascii="Arial" w:hAnsi="Arial" w:cs="Arial"/>
                <w:sz w:val="24"/>
                <w:szCs w:val="24"/>
              </w:rPr>
              <w:t>,</w:t>
            </w:r>
            <w:r w:rsidRPr="00C2066F">
              <w:rPr>
                <w:rFonts w:ascii="Arial" w:hAnsi="Arial" w:cs="Arial"/>
                <w:sz w:val="24"/>
                <w:szCs w:val="24"/>
              </w:rPr>
              <w:t>403</w:t>
            </w:r>
          </w:p>
        </w:tc>
        <w:tc>
          <w:tcPr>
            <w:tcW w:w="2302" w:type="dxa"/>
          </w:tcPr>
          <w:p w:rsidR="00C2066F" w:rsidRPr="00C2066F" w:rsidRDefault="00C2066F" w:rsidP="004D78D7">
            <w:pPr>
              <w:rPr>
                <w:rFonts w:ascii="Arial" w:hAnsi="Arial" w:cs="Arial"/>
                <w:sz w:val="24"/>
                <w:szCs w:val="24"/>
              </w:rPr>
            </w:pPr>
            <w:r w:rsidRPr="00C2066F">
              <w:rPr>
                <w:rFonts w:ascii="Arial" w:hAnsi="Arial" w:cs="Arial"/>
                <w:sz w:val="24"/>
                <w:szCs w:val="24"/>
              </w:rPr>
              <w:t>182</w:t>
            </w:r>
          </w:p>
        </w:tc>
        <w:tc>
          <w:tcPr>
            <w:tcW w:w="1846" w:type="dxa"/>
          </w:tcPr>
          <w:p w:rsidR="00C2066F" w:rsidRPr="00C2066F" w:rsidRDefault="00C2066F" w:rsidP="004D78D7">
            <w:pPr>
              <w:rPr>
                <w:rFonts w:ascii="Arial" w:hAnsi="Arial" w:cs="Arial"/>
                <w:sz w:val="24"/>
                <w:szCs w:val="24"/>
              </w:rPr>
            </w:pPr>
            <w:r w:rsidRPr="00C2066F">
              <w:rPr>
                <w:rFonts w:ascii="Arial" w:hAnsi="Arial" w:cs="Arial"/>
                <w:sz w:val="24"/>
                <w:szCs w:val="24"/>
              </w:rPr>
              <w:t>0.72%</w:t>
            </w:r>
          </w:p>
        </w:tc>
      </w:tr>
    </w:tbl>
    <w:p w:rsidR="00C2066F" w:rsidRPr="00C2066F" w:rsidRDefault="00C2066F" w:rsidP="00C2066F">
      <w:pPr>
        <w:rPr>
          <w:rFonts w:ascii="Arial" w:hAnsi="Arial" w:cs="Arial"/>
          <w:sz w:val="24"/>
          <w:szCs w:val="24"/>
        </w:rPr>
      </w:pPr>
    </w:p>
    <w:p w:rsidR="00C2066F" w:rsidRPr="00C2066F" w:rsidRDefault="00C2066F" w:rsidP="00C2066F">
      <w:pPr>
        <w:rPr>
          <w:rFonts w:ascii="Arial" w:hAnsi="Arial" w:cs="Arial"/>
          <w:sz w:val="24"/>
          <w:szCs w:val="24"/>
        </w:rPr>
      </w:pPr>
      <w:r w:rsidRPr="00C2066F">
        <w:rPr>
          <w:rFonts w:ascii="Arial" w:hAnsi="Arial" w:cs="Arial"/>
          <w:sz w:val="24"/>
          <w:szCs w:val="24"/>
        </w:rPr>
        <w:t xml:space="preserve">The </w:t>
      </w:r>
      <w:r w:rsidR="00C41E9E">
        <w:rPr>
          <w:rFonts w:ascii="Arial" w:hAnsi="Arial" w:cs="Arial"/>
          <w:sz w:val="24"/>
          <w:szCs w:val="24"/>
        </w:rPr>
        <w:t>S</w:t>
      </w:r>
      <w:r w:rsidRPr="00C2066F">
        <w:rPr>
          <w:rFonts w:ascii="Arial" w:hAnsi="Arial" w:cs="Arial"/>
          <w:sz w:val="24"/>
          <w:szCs w:val="24"/>
        </w:rPr>
        <w:t>chool with the highest number of male enrolments with criminal convictions was the School of Construction and the Built Environment closely followed by the School of Engineering and the School of Pre</w:t>
      </w:r>
      <w:r w:rsidR="00C41E9E">
        <w:rPr>
          <w:rFonts w:ascii="Arial" w:hAnsi="Arial" w:cs="Arial"/>
          <w:sz w:val="24"/>
          <w:szCs w:val="24"/>
        </w:rPr>
        <w:t>-</w:t>
      </w:r>
      <w:r w:rsidRPr="00C2066F">
        <w:rPr>
          <w:rFonts w:ascii="Arial" w:hAnsi="Arial" w:cs="Arial"/>
          <w:sz w:val="24"/>
          <w:szCs w:val="24"/>
        </w:rPr>
        <w:t>Vocational Studies.</w:t>
      </w:r>
    </w:p>
    <w:p w:rsidR="00C2066F" w:rsidRPr="00C2066F" w:rsidRDefault="00C2066F" w:rsidP="00C2066F">
      <w:pPr>
        <w:rPr>
          <w:rFonts w:ascii="Arial" w:hAnsi="Arial" w:cs="Arial"/>
          <w:sz w:val="24"/>
          <w:szCs w:val="24"/>
        </w:rPr>
      </w:pPr>
    </w:p>
    <w:p w:rsidR="00C2066F" w:rsidRPr="00C2066F" w:rsidRDefault="00C2066F" w:rsidP="00C2066F">
      <w:pPr>
        <w:rPr>
          <w:rFonts w:ascii="Arial" w:hAnsi="Arial" w:cs="Arial"/>
          <w:sz w:val="24"/>
          <w:szCs w:val="24"/>
        </w:rPr>
      </w:pPr>
      <w:r w:rsidRPr="00C2066F">
        <w:rPr>
          <w:rFonts w:ascii="Arial" w:hAnsi="Arial" w:cs="Arial"/>
          <w:sz w:val="24"/>
          <w:szCs w:val="24"/>
        </w:rPr>
        <w:t xml:space="preserve">The </w:t>
      </w:r>
      <w:r w:rsidR="00C41E9E">
        <w:rPr>
          <w:rFonts w:ascii="Arial" w:hAnsi="Arial" w:cs="Arial"/>
          <w:sz w:val="24"/>
          <w:szCs w:val="24"/>
        </w:rPr>
        <w:t>S</w:t>
      </w:r>
      <w:r w:rsidRPr="00C2066F">
        <w:rPr>
          <w:rFonts w:ascii="Arial" w:hAnsi="Arial" w:cs="Arial"/>
          <w:sz w:val="24"/>
          <w:szCs w:val="24"/>
        </w:rPr>
        <w:t xml:space="preserve">chool with the highest number of female enrolments with criminal convictions was the School of Business, Tourism and Hospitality closely followed by the School of Sport and Public Services. </w:t>
      </w:r>
    </w:p>
    <w:p w:rsidR="00C2066F" w:rsidRDefault="004D78D7" w:rsidP="00C2066F">
      <w:pPr>
        <w:rPr>
          <w:rFonts w:ascii="Arial" w:hAnsi="Arial" w:cs="Arial"/>
          <w:sz w:val="24"/>
          <w:szCs w:val="24"/>
        </w:rPr>
      </w:pPr>
      <w:r>
        <w:rPr>
          <w:rFonts w:ascii="Arial" w:hAnsi="Arial" w:cs="Arial"/>
          <w:sz w:val="24"/>
          <w:szCs w:val="24"/>
        </w:rPr>
        <w:t>The chart</w:t>
      </w:r>
      <w:r w:rsidR="00C2066F" w:rsidRPr="00C2066F">
        <w:rPr>
          <w:rFonts w:ascii="Arial" w:hAnsi="Arial" w:cs="Arial"/>
          <w:sz w:val="24"/>
          <w:szCs w:val="24"/>
        </w:rPr>
        <w:t xml:space="preserve"> below shows the retention, </w:t>
      </w:r>
      <w:r>
        <w:rPr>
          <w:rFonts w:ascii="Arial" w:hAnsi="Arial" w:cs="Arial"/>
          <w:sz w:val="24"/>
          <w:szCs w:val="24"/>
        </w:rPr>
        <w:t>attainment and success of male</w:t>
      </w:r>
      <w:r w:rsidR="00C2066F" w:rsidRPr="00C2066F">
        <w:rPr>
          <w:rFonts w:ascii="Arial" w:hAnsi="Arial" w:cs="Arial"/>
          <w:sz w:val="24"/>
          <w:szCs w:val="24"/>
        </w:rPr>
        <w:t xml:space="preserve"> learners with criminal c</w:t>
      </w:r>
      <w:r>
        <w:rPr>
          <w:rFonts w:ascii="Arial" w:hAnsi="Arial" w:cs="Arial"/>
          <w:sz w:val="24"/>
          <w:szCs w:val="24"/>
        </w:rPr>
        <w:t>onvictions compared with males</w:t>
      </w:r>
      <w:r w:rsidR="00C2066F" w:rsidRPr="00C2066F">
        <w:rPr>
          <w:rFonts w:ascii="Arial" w:hAnsi="Arial" w:cs="Arial"/>
          <w:sz w:val="24"/>
          <w:szCs w:val="24"/>
        </w:rPr>
        <w:t xml:space="preserve"> without criminal convictions</w:t>
      </w:r>
      <w:r w:rsidR="00752E75">
        <w:rPr>
          <w:rFonts w:ascii="Arial" w:hAnsi="Arial" w:cs="Arial"/>
          <w:sz w:val="24"/>
          <w:szCs w:val="24"/>
        </w:rPr>
        <w:t>:</w:t>
      </w:r>
      <w:bookmarkStart w:id="0" w:name="_GoBack"/>
      <w:bookmarkEnd w:id="0"/>
    </w:p>
    <w:p w:rsidR="004D78D7" w:rsidRPr="00C2066F" w:rsidRDefault="001E7256" w:rsidP="005D03B6">
      <w:pPr>
        <w:jc w:val="center"/>
        <w:rPr>
          <w:rFonts w:ascii="Arial" w:hAnsi="Arial" w:cs="Arial"/>
          <w:sz w:val="24"/>
          <w:szCs w:val="24"/>
        </w:rPr>
      </w:pPr>
      <w:r w:rsidRPr="001E7256">
        <w:rPr>
          <w:rFonts w:ascii="Arial" w:hAnsi="Arial" w:cs="Arial"/>
          <w:noProof/>
          <w:sz w:val="24"/>
          <w:szCs w:val="24"/>
        </w:rPr>
        <w:drawing>
          <wp:inline distT="0" distB="0" distL="0" distR="0">
            <wp:extent cx="4572000" cy="2743200"/>
            <wp:effectExtent l="19050" t="0" r="0" b="0"/>
            <wp:docPr id="9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C2066F" w:rsidRDefault="00C2066F" w:rsidP="004D78D7">
      <w:pPr>
        <w:jc w:val="center"/>
        <w:rPr>
          <w:rFonts w:ascii="Arial" w:hAnsi="Arial" w:cs="Arial"/>
          <w:sz w:val="24"/>
          <w:szCs w:val="24"/>
        </w:rPr>
      </w:pPr>
    </w:p>
    <w:p w:rsidR="004D78D7" w:rsidRDefault="004D78D7" w:rsidP="004D78D7">
      <w:pPr>
        <w:jc w:val="center"/>
        <w:rPr>
          <w:rFonts w:ascii="Arial" w:hAnsi="Arial" w:cs="Arial"/>
          <w:sz w:val="24"/>
          <w:szCs w:val="24"/>
        </w:rPr>
      </w:pPr>
    </w:p>
    <w:p w:rsidR="004D78D7" w:rsidRDefault="004D78D7" w:rsidP="004D78D7">
      <w:pPr>
        <w:rPr>
          <w:rFonts w:ascii="Arial" w:hAnsi="Arial" w:cs="Arial"/>
          <w:sz w:val="24"/>
          <w:szCs w:val="24"/>
        </w:rPr>
      </w:pPr>
      <w:r>
        <w:rPr>
          <w:rFonts w:ascii="Arial" w:hAnsi="Arial" w:cs="Arial"/>
          <w:sz w:val="24"/>
          <w:szCs w:val="24"/>
        </w:rPr>
        <w:t xml:space="preserve">It can be seen that the retention, attainment and success of males with criminal </w:t>
      </w:r>
      <w:r w:rsidR="00297CCD">
        <w:rPr>
          <w:rFonts w:ascii="Arial" w:hAnsi="Arial" w:cs="Arial"/>
          <w:sz w:val="24"/>
          <w:szCs w:val="24"/>
        </w:rPr>
        <w:t>convictions is less than</w:t>
      </w:r>
      <w:r>
        <w:rPr>
          <w:rFonts w:ascii="Arial" w:hAnsi="Arial" w:cs="Arial"/>
          <w:sz w:val="24"/>
          <w:szCs w:val="24"/>
        </w:rPr>
        <w:t xml:space="preserve"> that for males without criminal convictions.</w:t>
      </w:r>
    </w:p>
    <w:p w:rsidR="004D78D7" w:rsidRPr="00C2066F" w:rsidRDefault="004D78D7" w:rsidP="004D78D7">
      <w:pPr>
        <w:rPr>
          <w:rFonts w:ascii="Arial" w:hAnsi="Arial" w:cs="Arial"/>
          <w:sz w:val="24"/>
          <w:szCs w:val="24"/>
        </w:rPr>
      </w:pPr>
      <w:r>
        <w:rPr>
          <w:rFonts w:ascii="Arial" w:hAnsi="Arial" w:cs="Arial"/>
          <w:sz w:val="24"/>
          <w:szCs w:val="24"/>
        </w:rPr>
        <w:t>The chart</w:t>
      </w:r>
      <w:r w:rsidRPr="00C2066F">
        <w:rPr>
          <w:rFonts w:ascii="Arial" w:hAnsi="Arial" w:cs="Arial"/>
          <w:sz w:val="24"/>
          <w:szCs w:val="24"/>
        </w:rPr>
        <w:t xml:space="preserve"> below shows the retention, </w:t>
      </w:r>
      <w:r>
        <w:rPr>
          <w:rFonts w:ascii="Arial" w:hAnsi="Arial" w:cs="Arial"/>
          <w:sz w:val="24"/>
          <w:szCs w:val="24"/>
        </w:rPr>
        <w:t>attainment and success of female</w:t>
      </w:r>
      <w:r w:rsidRPr="00C2066F">
        <w:rPr>
          <w:rFonts w:ascii="Arial" w:hAnsi="Arial" w:cs="Arial"/>
          <w:sz w:val="24"/>
          <w:szCs w:val="24"/>
        </w:rPr>
        <w:t xml:space="preserve"> learners with criminal c</w:t>
      </w:r>
      <w:r>
        <w:rPr>
          <w:rFonts w:ascii="Arial" w:hAnsi="Arial" w:cs="Arial"/>
          <w:sz w:val="24"/>
          <w:szCs w:val="24"/>
        </w:rPr>
        <w:t>onvictions compared with females</w:t>
      </w:r>
      <w:r w:rsidRPr="00C2066F">
        <w:rPr>
          <w:rFonts w:ascii="Arial" w:hAnsi="Arial" w:cs="Arial"/>
          <w:sz w:val="24"/>
          <w:szCs w:val="24"/>
        </w:rPr>
        <w:t xml:space="preserve"> without criminal convictions</w:t>
      </w:r>
      <w:r w:rsidR="0046034A">
        <w:rPr>
          <w:rFonts w:ascii="Arial" w:hAnsi="Arial" w:cs="Arial"/>
          <w:sz w:val="24"/>
          <w:szCs w:val="24"/>
        </w:rPr>
        <w:t>:</w:t>
      </w:r>
    </w:p>
    <w:p w:rsidR="00C2066F" w:rsidRPr="00C2066F" w:rsidRDefault="001E7256" w:rsidP="005D03B6">
      <w:pPr>
        <w:jc w:val="center"/>
        <w:rPr>
          <w:rFonts w:ascii="Arial" w:hAnsi="Arial" w:cs="Arial"/>
          <w:sz w:val="24"/>
          <w:szCs w:val="24"/>
        </w:rPr>
      </w:pPr>
      <w:r w:rsidRPr="001E7256">
        <w:rPr>
          <w:rFonts w:ascii="Arial" w:hAnsi="Arial" w:cs="Arial"/>
          <w:noProof/>
          <w:sz w:val="24"/>
          <w:szCs w:val="24"/>
        </w:rPr>
        <w:drawing>
          <wp:inline distT="0" distB="0" distL="0" distR="0">
            <wp:extent cx="4743450" cy="2905125"/>
            <wp:effectExtent l="19050" t="0" r="0" b="0"/>
            <wp:docPr id="9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82585E" w:rsidRDefault="0082585E" w:rsidP="004D78D7">
      <w:pPr>
        <w:jc w:val="center"/>
        <w:rPr>
          <w:rFonts w:ascii="Arial" w:hAnsi="Arial" w:cs="Arial"/>
          <w:sz w:val="24"/>
          <w:szCs w:val="24"/>
        </w:rPr>
      </w:pPr>
    </w:p>
    <w:p w:rsidR="00B259C1" w:rsidRDefault="004D78D7" w:rsidP="004D78D7">
      <w:pPr>
        <w:rPr>
          <w:rFonts w:ascii="Arial" w:hAnsi="Arial" w:cs="Arial"/>
          <w:sz w:val="24"/>
          <w:szCs w:val="24"/>
        </w:rPr>
      </w:pPr>
      <w:r>
        <w:rPr>
          <w:rFonts w:ascii="Arial" w:hAnsi="Arial" w:cs="Arial"/>
          <w:sz w:val="24"/>
          <w:szCs w:val="24"/>
        </w:rPr>
        <w:t xml:space="preserve">It can be seen that the retention, attainment and success of females with criminal convictions exceeds that of females without criminal convictions. Data suggests that females with criminal convictions perform better than their counterparts without criminal convictions. The reverse is true of males. </w:t>
      </w:r>
      <w:r w:rsidR="009A3285">
        <w:rPr>
          <w:rFonts w:ascii="Arial" w:hAnsi="Arial" w:cs="Arial"/>
          <w:sz w:val="24"/>
          <w:szCs w:val="24"/>
        </w:rPr>
        <w:t>It is important to note</w:t>
      </w:r>
      <w:r w:rsidR="003D6D52">
        <w:rPr>
          <w:rFonts w:ascii="Arial" w:hAnsi="Arial" w:cs="Arial"/>
          <w:sz w:val="24"/>
          <w:szCs w:val="24"/>
        </w:rPr>
        <w:t>,</w:t>
      </w:r>
      <w:r w:rsidR="009A3285">
        <w:rPr>
          <w:rFonts w:ascii="Arial" w:hAnsi="Arial" w:cs="Arial"/>
          <w:sz w:val="24"/>
          <w:szCs w:val="24"/>
        </w:rPr>
        <w:t xml:space="preserve"> however</w:t>
      </w:r>
      <w:r>
        <w:rPr>
          <w:rFonts w:ascii="Arial" w:hAnsi="Arial" w:cs="Arial"/>
          <w:sz w:val="24"/>
          <w:szCs w:val="24"/>
        </w:rPr>
        <w:t xml:space="preserve">, that in dealing with </w:t>
      </w:r>
      <w:r w:rsidR="00A65628">
        <w:rPr>
          <w:rFonts w:ascii="Arial" w:hAnsi="Arial" w:cs="Arial"/>
          <w:sz w:val="24"/>
          <w:szCs w:val="24"/>
        </w:rPr>
        <w:t>learners</w:t>
      </w:r>
      <w:r>
        <w:rPr>
          <w:rFonts w:ascii="Arial" w:hAnsi="Arial" w:cs="Arial"/>
          <w:sz w:val="24"/>
          <w:szCs w:val="24"/>
        </w:rPr>
        <w:t xml:space="preserve"> with criminal convictions the number is still very small compared to the learners without criminal convictions </w:t>
      </w:r>
      <w:r w:rsidR="00B259C1">
        <w:rPr>
          <w:rFonts w:ascii="Arial" w:hAnsi="Arial" w:cs="Arial"/>
          <w:sz w:val="24"/>
          <w:szCs w:val="24"/>
        </w:rPr>
        <w:t xml:space="preserve">and the analysis may be skewed as a result. </w:t>
      </w:r>
    </w:p>
    <w:p w:rsidR="004D78D7" w:rsidRDefault="00B259C1" w:rsidP="004D78D7">
      <w:pPr>
        <w:rPr>
          <w:rFonts w:ascii="Arial" w:hAnsi="Arial" w:cs="Arial"/>
          <w:sz w:val="24"/>
          <w:szCs w:val="24"/>
        </w:rPr>
      </w:pPr>
      <w:r>
        <w:rPr>
          <w:rFonts w:ascii="Arial" w:hAnsi="Arial" w:cs="Arial"/>
          <w:sz w:val="24"/>
          <w:szCs w:val="24"/>
        </w:rPr>
        <w:t>The chart</w:t>
      </w:r>
      <w:r w:rsidRPr="00C2066F">
        <w:rPr>
          <w:rFonts w:ascii="Arial" w:hAnsi="Arial" w:cs="Arial"/>
          <w:sz w:val="24"/>
          <w:szCs w:val="24"/>
        </w:rPr>
        <w:t xml:space="preserve"> below shows the retention, </w:t>
      </w:r>
      <w:r>
        <w:rPr>
          <w:rFonts w:ascii="Arial" w:hAnsi="Arial" w:cs="Arial"/>
          <w:sz w:val="24"/>
          <w:szCs w:val="24"/>
        </w:rPr>
        <w:t xml:space="preserve">attainment and success of </w:t>
      </w:r>
      <w:r w:rsidR="005D03B6">
        <w:rPr>
          <w:rFonts w:ascii="Arial" w:hAnsi="Arial" w:cs="Arial"/>
          <w:sz w:val="24"/>
          <w:szCs w:val="24"/>
        </w:rPr>
        <w:t>all</w:t>
      </w:r>
      <w:r w:rsidRPr="00C2066F">
        <w:rPr>
          <w:rFonts w:ascii="Arial" w:hAnsi="Arial" w:cs="Arial"/>
          <w:sz w:val="24"/>
          <w:szCs w:val="24"/>
        </w:rPr>
        <w:t xml:space="preserve"> learners with criminal c</w:t>
      </w:r>
      <w:r>
        <w:rPr>
          <w:rFonts w:ascii="Arial" w:hAnsi="Arial" w:cs="Arial"/>
          <w:sz w:val="24"/>
          <w:szCs w:val="24"/>
        </w:rPr>
        <w:t xml:space="preserve">onvictions compared with learners </w:t>
      </w:r>
      <w:r w:rsidRPr="00C2066F">
        <w:rPr>
          <w:rFonts w:ascii="Arial" w:hAnsi="Arial" w:cs="Arial"/>
          <w:sz w:val="24"/>
          <w:szCs w:val="24"/>
        </w:rPr>
        <w:t>without criminal convictions</w:t>
      </w:r>
      <w:r w:rsidR="0046034A">
        <w:rPr>
          <w:rFonts w:ascii="Arial" w:hAnsi="Arial" w:cs="Arial"/>
          <w:sz w:val="24"/>
          <w:szCs w:val="24"/>
        </w:rPr>
        <w:t>:</w:t>
      </w:r>
    </w:p>
    <w:p w:rsidR="00B259C1" w:rsidRDefault="001E7256" w:rsidP="00105CD2">
      <w:pPr>
        <w:jc w:val="center"/>
        <w:rPr>
          <w:rFonts w:ascii="Arial" w:hAnsi="Arial" w:cs="Arial"/>
          <w:sz w:val="24"/>
          <w:szCs w:val="24"/>
        </w:rPr>
      </w:pPr>
      <w:r w:rsidRPr="001E7256">
        <w:rPr>
          <w:rFonts w:ascii="Arial" w:hAnsi="Arial" w:cs="Arial"/>
          <w:noProof/>
          <w:sz w:val="24"/>
          <w:szCs w:val="24"/>
        </w:rPr>
        <w:drawing>
          <wp:inline distT="0" distB="0" distL="0" distR="0">
            <wp:extent cx="4886325" cy="2905125"/>
            <wp:effectExtent l="19050" t="0" r="0" b="0"/>
            <wp:docPr id="10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B259C1" w:rsidRDefault="00B259C1" w:rsidP="00B259C1">
      <w:pPr>
        <w:jc w:val="center"/>
        <w:rPr>
          <w:rFonts w:ascii="Arial" w:hAnsi="Arial" w:cs="Arial"/>
          <w:sz w:val="24"/>
          <w:szCs w:val="24"/>
        </w:rPr>
      </w:pPr>
    </w:p>
    <w:p w:rsidR="00B259C1" w:rsidRDefault="00B259C1" w:rsidP="00B259C1">
      <w:pPr>
        <w:jc w:val="center"/>
        <w:rPr>
          <w:rFonts w:ascii="Arial" w:hAnsi="Arial" w:cs="Arial"/>
          <w:sz w:val="24"/>
          <w:szCs w:val="24"/>
        </w:rPr>
      </w:pPr>
    </w:p>
    <w:p w:rsidR="00B259C1" w:rsidRDefault="00B259C1" w:rsidP="00B259C1">
      <w:pPr>
        <w:rPr>
          <w:rFonts w:ascii="Arial" w:hAnsi="Arial" w:cs="Arial"/>
          <w:sz w:val="24"/>
          <w:szCs w:val="24"/>
        </w:rPr>
      </w:pPr>
      <w:r>
        <w:rPr>
          <w:rFonts w:ascii="Arial" w:hAnsi="Arial" w:cs="Arial"/>
          <w:sz w:val="24"/>
          <w:szCs w:val="24"/>
        </w:rPr>
        <w:t>It can be seen when all learners are sampled</w:t>
      </w:r>
      <w:r w:rsidR="003D6D52">
        <w:rPr>
          <w:rFonts w:ascii="Arial" w:hAnsi="Arial" w:cs="Arial"/>
          <w:sz w:val="24"/>
          <w:szCs w:val="24"/>
        </w:rPr>
        <w:t>,</w:t>
      </w:r>
      <w:r>
        <w:rPr>
          <w:rFonts w:ascii="Arial" w:hAnsi="Arial" w:cs="Arial"/>
          <w:sz w:val="24"/>
          <w:szCs w:val="24"/>
        </w:rPr>
        <w:t xml:space="preserve"> the retention, attainment and success of learners witho</w:t>
      </w:r>
      <w:r w:rsidR="003D6D52">
        <w:rPr>
          <w:rFonts w:ascii="Arial" w:hAnsi="Arial" w:cs="Arial"/>
          <w:sz w:val="24"/>
          <w:szCs w:val="24"/>
        </w:rPr>
        <w:t xml:space="preserve">ut criminal convictions exceeds </w:t>
      </w:r>
      <w:r>
        <w:rPr>
          <w:rFonts w:ascii="Arial" w:hAnsi="Arial" w:cs="Arial"/>
          <w:sz w:val="24"/>
          <w:szCs w:val="24"/>
        </w:rPr>
        <w:t xml:space="preserve">those with criminal convictions. </w:t>
      </w:r>
    </w:p>
    <w:p w:rsidR="00B259C1" w:rsidRDefault="00B259C1" w:rsidP="00B259C1">
      <w:pPr>
        <w:rPr>
          <w:rFonts w:ascii="Arial" w:hAnsi="Arial" w:cs="Arial"/>
          <w:sz w:val="24"/>
          <w:szCs w:val="24"/>
        </w:rPr>
      </w:pPr>
      <w:r>
        <w:rPr>
          <w:rFonts w:ascii="Arial" w:hAnsi="Arial" w:cs="Arial"/>
          <w:sz w:val="24"/>
          <w:szCs w:val="24"/>
        </w:rPr>
        <w:t>The final part of this analysis is to look at the retention, attainment and success of males with criminal convictions compared to females with criminal convictions. The chart below indicates the comparison of the two groups:</w:t>
      </w:r>
    </w:p>
    <w:p w:rsidR="00B259C1" w:rsidRDefault="00455595" w:rsidP="00B259C1">
      <w:pPr>
        <w:jc w:val="center"/>
        <w:rPr>
          <w:rFonts w:ascii="Arial" w:hAnsi="Arial" w:cs="Arial"/>
          <w:sz w:val="24"/>
          <w:szCs w:val="24"/>
        </w:rPr>
      </w:pPr>
      <w:r w:rsidRPr="00455595">
        <w:rPr>
          <w:rFonts w:ascii="Arial" w:hAnsi="Arial" w:cs="Arial"/>
          <w:noProof/>
          <w:sz w:val="24"/>
          <w:szCs w:val="24"/>
        </w:rPr>
        <w:drawing>
          <wp:inline distT="0" distB="0" distL="0" distR="0">
            <wp:extent cx="4743450" cy="2905125"/>
            <wp:effectExtent l="19050" t="0" r="0" b="0"/>
            <wp:docPr id="10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B259C1" w:rsidRDefault="00B259C1" w:rsidP="00B259C1">
      <w:pPr>
        <w:jc w:val="center"/>
        <w:rPr>
          <w:rFonts w:ascii="Arial" w:hAnsi="Arial" w:cs="Arial"/>
          <w:sz w:val="24"/>
          <w:szCs w:val="24"/>
        </w:rPr>
      </w:pPr>
    </w:p>
    <w:p w:rsidR="00B259C1" w:rsidRDefault="00B259C1" w:rsidP="00B259C1">
      <w:pPr>
        <w:rPr>
          <w:rFonts w:ascii="Arial" w:hAnsi="Arial" w:cs="Arial"/>
          <w:sz w:val="24"/>
          <w:szCs w:val="24"/>
        </w:rPr>
      </w:pPr>
      <w:r>
        <w:rPr>
          <w:rFonts w:ascii="Arial" w:hAnsi="Arial" w:cs="Arial"/>
          <w:sz w:val="24"/>
          <w:szCs w:val="24"/>
        </w:rPr>
        <w:t xml:space="preserve">It can be seen that for 2009-2010 the retention, attainment and success of females with criminal convictions exceeds that of their male counterparts. </w:t>
      </w:r>
    </w:p>
    <w:p w:rsidR="00B259C1" w:rsidRDefault="00B259C1" w:rsidP="00B259C1">
      <w:pPr>
        <w:rPr>
          <w:rFonts w:ascii="Arial" w:hAnsi="Arial" w:cs="Arial"/>
          <w:sz w:val="24"/>
          <w:szCs w:val="24"/>
        </w:rPr>
      </w:pPr>
      <w:r>
        <w:rPr>
          <w:rFonts w:ascii="Arial" w:hAnsi="Arial" w:cs="Arial"/>
          <w:sz w:val="24"/>
          <w:szCs w:val="24"/>
        </w:rPr>
        <w:t>Many conclusions may be drawn from this data, for example, female learners with criminal convictions respond better to males on given a “second chance”. It is true to say that whatever conclusions are inferred from this data</w:t>
      </w:r>
      <w:r w:rsidR="003D6D52">
        <w:rPr>
          <w:rFonts w:ascii="Arial" w:hAnsi="Arial" w:cs="Arial"/>
          <w:sz w:val="24"/>
          <w:szCs w:val="24"/>
        </w:rPr>
        <w:t>,</w:t>
      </w:r>
      <w:r>
        <w:rPr>
          <w:rFonts w:ascii="Arial" w:hAnsi="Arial" w:cs="Arial"/>
          <w:sz w:val="24"/>
          <w:szCs w:val="24"/>
        </w:rPr>
        <w:t xml:space="preserve"> it is important to bear in mind that the percentage of learners with criminal convictions remains small compared to those without criminal convictions. </w:t>
      </w:r>
    </w:p>
    <w:p w:rsidR="00B259C1" w:rsidRDefault="00B259C1" w:rsidP="00B259C1">
      <w:pPr>
        <w:rPr>
          <w:rFonts w:ascii="Arial" w:hAnsi="Arial" w:cs="Arial"/>
          <w:sz w:val="24"/>
          <w:szCs w:val="24"/>
        </w:rPr>
      </w:pPr>
    </w:p>
    <w:p w:rsidR="00B259C1" w:rsidRDefault="00B259C1" w:rsidP="00B259C1">
      <w:pPr>
        <w:rPr>
          <w:rFonts w:ascii="Arial" w:hAnsi="Arial" w:cs="Arial"/>
          <w:sz w:val="24"/>
          <w:szCs w:val="24"/>
        </w:rPr>
      </w:pPr>
    </w:p>
    <w:p w:rsidR="00B259C1" w:rsidRDefault="00B259C1" w:rsidP="00B259C1">
      <w:pPr>
        <w:rPr>
          <w:rFonts w:ascii="Arial" w:hAnsi="Arial" w:cs="Arial"/>
          <w:sz w:val="24"/>
          <w:szCs w:val="24"/>
        </w:rPr>
      </w:pPr>
    </w:p>
    <w:p w:rsidR="00387F5D" w:rsidRDefault="00387F5D" w:rsidP="00B259C1">
      <w:pPr>
        <w:rPr>
          <w:rFonts w:ascii="Arial" w:hAnsi="Arial" w:cs="Arial"/>
          <w:sz w:val="24"/>
          <w:szCs w:val="24"/>
        </w:rPr>
      </w:pPr>
    </w:p>
    <w:p w:rsidR="00387F5D" w:rsidRDefault="00387F5D" w:rsidP="00B259C1">
      <w:pPr>
        <w:rPr>
          <w:rFonts w:ascii="Arial" w:hAnsi="Arial" w:cs="Arial"/>
          <w:sz w:val="24"/>
          <w:szCs w:val="24"/>
        </w:rPr>
      </w:pPr>
    </w:p>
    <w:p w:rsidR="00387F5D" w:rsidRDefault="00387F5D" w:rsidP="00B259C1">
      <w:pPr>
        <w:rPr>
          <w:rFonts w:ascii="Arial" w:hAnsi="Arial" w:cs="Arial"/>
          <w:sz w:val="24"/>
          <w:szCs w:val="24"/>
        </w:rPr>
      </w:pPr>
    </w:p>
    <w:p w:rsidR="00387F5D" w:rsidRDefault="00387F5D" w:rsidP="00B259C1">
      <w:pPr>
        <w:rPr>
          <w:rFonts w:ascii="Arial" w:hAnsi="Arial" w:cs="Arial"/>
          <w:sz w:val="24"/>
          <w:szCs w:val="24"/>
        </w:rPr>
      </w:pPr>
    </w:p>
    <w:p w:rsidR="00387F5D" w:rsidRDefault="00387F5D" w:rsidP="00B259C1">
      <w:pPr>
        <w:rPr>
          <w:rFonts w:ascii="Arial" w:hAnsi="Arial" w:cs="Arial"/>
          <w:sz w:val="24"/>
          <w:szCs w:val="24"/>
        </w:rPr>
      </w:pPr>
    </w:p>
    <w:p w:rsidR="00387F5D" w:rsidRDefault="00387F5D" w:rsidP="00B259C1">
      <w:pPr>
        <w:rPr>
          <w:rFonts w:ascii="Arial" w:hAnsi="Arial" w:cs="Arial"/>
          <w:sz w:val="24"/>
          <w:szCs w:val="24"/>
        </w:rPr>
      </w:pPr>
    </w:p>
    <w:p w:rsidR="00387F5D" w:rsidRDefault="00387F5D" w:rsidP="00B259C1">
      <w:pPr>
        <w:rPr>
          <w:rFonts w:ascii="Arial" w:hAnsi="Arial" w:cs="Arial"/>
          <w:sz w:val="24"/>
          <w:szCs w:val="24"/>
        </w:rPr>
      </w:pPr>
    </w:p>
    <w:p w:rsidR="00387F5D" w:rsidRDefault="00387F5D" w:rsidP="00B259C1">
      <w:pPr>
        <w:rPr>
          <w:rFonts w:ascii="Arial" w:hAnsi="Arial" w:cs="Arial"/>
          <w:sz w:val="24"/>
          <w:szCs w:val="24"/>
        </w:rPr>
      </w:pPr>
    </w:p>
    <w:p w:rsidR="00BC008A" w:rsidRDefault="00BC008A">
      <w:pPr>
        <w:rPr>
          <w:rFonts w:ascii="Arial" w:hAnsi="Arial" w:cs="Arial"/>
          <w:sz w:val="24"/>
          <w:szCs w:val="24"/>
        </w:rPr>
      </w:pPr>
    </w:p>
    <w:p w:rsidR="0046034A" w:rsidRDefault="00B504C5">
      <w:pPr>
        <w:rPr>
          <w:rFonts w:ascii="Arial" w:hAnsi="Arial" w:cs="Arial"/>
          <w:b/>
          <w:sz w:val="24"/>
          <w:szCs w:val="24"/>
        </w:rPr>
      </w:pPr>
      <w:r>
        <w:rPr>
          <w:rFonts w:ascii="Arial" w:hAnsi="Arial" w:cs="Arial"/>
          <w:b/>
          <w:sz w:val="24"/>
          <w:szCs w:val="24"/>
        </w:rPr>
        <w:t>Project Summary</w:t>
      </w:r>
    </w:p>
    <w:p w:rsidR="00B504C5" w:rsidRDefault="00387F5D">
      <w:pPr>
        <w:rPr>
          <w:rFonts w:ascii="Arial" w:hAnsi="Arial" w:cs="Arial"/>
          <w:b/>
          <w:sz w:val="24"/>
          <w:szCs w:val="24"/>
        </w:rPr>
      </w:pPr>
      <w:r w:rsidRPr="00387F5D">
        <w:rPr>
          <w:rFonts w:ascii="Arial" w:hAnsi="Arial" w:cs="Arial"/>
          <w:b/>
          <w:sz w:val="24"/>
          <w:szCs w:val="24"/>
        </w:rPr>
        <w:t>Gender</w:t>
      </w:r>
    </w:p>
    <w:p w:rsidR="00B504C5" w:rsidRDefault="00387F5D" w:rsidP="00B504C5">
      <w:pPr>
        <w:numPr>
          <w:ilvl w:val="0"/>
          <w:numId w:val="5"/>
        </w:numPr>
        <w:spacing w:after="0" w:line="240" w:lineRule="auto"/>
        <w:rPr>
          <w:rFonts w:ascii="Arial" w:hAnsi="Arial" w:cs="Arial"/>
          <w:sz w:val="24"/>
          <w:szCs w:val="24"/>
        </w:rPr>
      </w:pPr>
      <w:r w:rsidRPr="00387F5D">
        <w:rPr>
          <w:rFonts w:ascii="Arial" w:hAnsi="Arial" w:cs="Arial"/>
          <w:sz w:val="24"/>
          <w:szCs w:val="24"/>
        </w:rPr>
        <w:t>NPTC has slightly more enrolments from females than males as expected by demographics</w:t>
      </w:r>
    </w:p>
    <w:p w:rsidR="00ED3A31" w:rsidRPr="00B504C5" w:rsidRDefault="00ED3A31" w:rsidP="00ED3A31">
      <w:pPr>
        <w:spacing w:after="0" w:line="240" w:lineRule="auto"/>
        <w:ind w:left="720"/>
        <w:rPr>
          <w:rFonts w:ascii="Arial" w:hAnsi="Arial" w:cs="Arial"/>
          <w:sz w:val="24"/>
          <w:szCs w:val="24"/>
        </w:rPr>
      </w:pPr>
    </w:p>
    <w:p w:rsidR="00B504C5" w:rsidRDefault="00387F5D" w:rsidP="00B504C5">
      <w:pPr>
        <w:pStyle w:val="ListParagraph"/>
        <w:numPr>
          <w:ilvl w:val="0"/>
          <w:numId w:val="5"/>
        </w:numPr>
        <w:spacing w:after="0" w:line="240" w:lineRule="auto"/>
        <w:rPr>
          <w:rFonts w:ascii="Arial" w:hAnsi="Arial" w:cs="Arial"/>
          <w:sz w:val="24"/>
          <w:szCs w:val="24"/>
        </w:rPr>
      </w:pPr>
      <w:r w:rsidRPr="00387F5D">
        <w:rPr>
          <w:rFonts w:ascii="Arial" w:hAnsi="Arial" w:cs="Arial"/>
          <w:sz w:val="24"/>
          <w:szCs w:val="24"/>
        </w:rPr>
        <w:t>There was a significant drop in retention of both males and females in 2009-</w:t>
      </w:r>
      <w:r w:rsidR="003D6D52">
        <w:rPr>
          <w:rFonts w:ascii="Arial" w:hAnsi="Arial" w:cs="Arial"/>
          <w:sz w:val="24"/>
          <w:szCs w:val="24"/>
        </w:rPr>
        <w:t>20</w:t>
      </w:r>
      <w:r w:rsidRPr="00387F5D">
        <w:rPr>
          <w:rFonts w:ascii="Arial" w:hAnsi="Arial" w:cs="Arial"/>
          <w:sz w:val="24"/>
          <w:szCs w:val="24"/>
        </w:rPr>
        <w:t>10 compared with 2008-</w:t>
      </w:r>
      <w:r w:rsidR="00ED3A31">
        <w:rPr>
          <w:rFonts w:ascii="Arial" w:hAnsi="Arial" w:cs="Arial"/>
          <w:sz w:val="24"/>
          <w:szCs w:val="24"/>
        </w:rPr>
        <w:t>2009</w:t>
      </w:r>
    </w:p>
    <w:p w:rsidR="00ED3A31" w:rsidRPr="00B504C5" w:rsidRDefault="00ED3A31" w:rsidP="00ED3A31">
      <w:pPr>
        <w:pStyle w:val="ListParagraph"/>
        <w:spacing w:after="0" w:line="240" w:lineRule="auto"/>
        <w:rPr>
          <w:rFonts w:ascii="Arial" w:hAnsi="Arial" w:cs="Arial"/>
          <w:sz w:val="24"/>
          <w:szCs w:val="24"/>
        </w:rPr>
      </w:pPr>
    </w:p>
    <w:p w:rsidR="00BC008A" w:rsidRPr="00BC008A" w:rsidRDefault="00387F5D" w:rsidP="00BC008A">
      <w:pPr>
        <w:numPr>
          <w:ilvl w:val="0"/>
          <w:numId w:val="5"/>
        </w:numPr>
        <w:spacing w:after="0" w:line="240" w:lineRule="auto"/>
        <w:rPr>
          <w:rFonts w:ascii="Arial" w:hAnsi="Arial" w:cs="Arial"/>
          <w:sz w:val="24"/>
          <w:szCs w:val="24"/>
        </w:rPr>
      </w:pPr>
      <w:r w:rsidRPr="00387F5D">
        <w:rPr>
          <w:rFonts w:ascii="Arial" w:hAnsi="Arial" w:cs="Arial"/>
          <w:sz w:val="24"/>
          <w:szCs w:val="24"/>
        </w:rPr>
        <w:t xml:space="preserve">Attainment and success trends across the </w:t>
      </w:r>
      <w:r w:rsidR="003D6D52">
        <w:rPr>
          <w:rFonts w:ascii="Arial" w:hAnsi="Arial" w:cs="Arial"/>
          <w:sz w:val="24"/>
          <w:szCs w:val="24"/>
        </w:rPr>
        <w:t>C</w:t>
      </w:r>
      <w:r w:rsidRPr="00387F5D">
        <w:rPr>
          <w:rFonts w:ascii="Arial" w:hAnsi="Arial" w:cs="Arial"/>
          <w:sz w:val="24"/>
          <w:szCs w:val="24"/>
        </w:rPr>
        <w:t xml:space="preserve">ollege for males and </w:t>
      </w:r>
      <w:r w:rsidR="00BC008A">
        <w:rPr>
          <w:rFonts w:ascii="Arial" w:hAnsi="Arial" w:cs="Arial"/>
          <w:sz w:val="24"/>
          <w:szCs w:val="24"/>
        </w:rPr>
        <w:t>females are in line. In some areas</w:t>
      </w:r>
      <w:r w:rsidRPr="00387F5D">
        <w:rPr>
          <w:rFonts w:ascii="Arial" w:hAnsi="Arial" w:cs="Arial"/>
          <w:sz w:val="24"/>
          <w:szCs w:val="24"/>
        </w:rPr>
        <w:t xml:space="preserve"> one gender does better than the other in terms of success: </w:t>
      </w:r>
    </w:p>
    <w:p w:rsidR="00387F5D" w:rsidRPr="00387F5D" w:rsidRDefault="00BC008A" w:rsidP="00ED3A31">
      <w:pPr>
        <w:spacing w:after="0" w:line="240" w:lineRule="auto"/>
        <w:ind w:left="1276"/>
        <w:rPr>
          <w:rFonts w:ascii="Arial" w:hAnsi="Arial" w:cs="Arial"/>
          <w:sz w:val="24"/>
          <w:szCs w:val="24"/>
        </w:rPr>
      </w:pPr>
      <w:r>
        <w:rPr>
          <w:rFonts w:ascii="Arial" w:hAnsi="Arial" w:cs="Arial"/>
          <w:sz w:val="24"/>
          <w:szCs w:val="24"/>
        </w:rPr>
        <w:t xml:space="preserve">CBE   </w:t>
      </w:r>
      <w:r>
        <w:rPr>
          <w:rFonts w:ascii="Arial" w:hAnsi="Arial" w:cs="Arial"/>
          <w:sz w:val="24"/>
          <w:szCs w:val="24"/>
        </w:rPr>
        <w:tab/>
      </w:r>
      <w:r>
        <w:rPr>
          <w:rFonts w:ascii="Arial" w:hAnsi="Arial" w:cs="Arial"/>
          <w:sz w:val="24"/>
          <w:szCs w:val="24"/>
        </w:rPr>
        <w:tab/>
      </w:r>
      <w:r>
        <w:rPr>
          <w:rFonts w:ascii="Arial" w:hAnsi="Arial" w:cs="Arial"/>
          <w:sz w:val="24"/>
          <w:szCs w:val="24"/>
        </w:rPr>
        <w:tab/>
      </w:r>
      <w:r w:rsidR="00387F5D" w:rsidRPr="00387F5D">
        <w:rPr>
          <w:rFonts w:ascii="Arial" w:hAnsi="Arial" w:cs="Arial"/>
          <w:sz w:val="24"/>
          <w:szCs w:val="24"/>
        </w:rPr>
        <w:t>males do better than females</w:t>
      </w:r>
    </w:p>
    <w:p w:rsidR="00387F5D" w:rsidRPr="00387F5D" w:rsidRDefault="00BC008A" w:rsidP="00ED3A31">
      <w:pPr>
        <w:spacing w:after="0" w:line="240" w:lineRule="auto"/>
        <w:ind w:left="1276"/>
        <w:rPr>
          <w:rFonts w:ascii="Arial" w:hAnsi="Arial" w:cs="Arial"/>
          <w:sz w:val="24"/>
          <w:szCs w:val="24"/>
        </w:rPr>
      </w:pPr>
      <w:r>
        <w:rPr>
          <w:rFonts w:ascii="Arial" w:hAnsi="Arial" w:cs="Arial"/>
          <w:sz w:val="24"/>
          <w:szCs w:val="24"/>
        </w:rPr>
        <w:t xml:space="preserve">CIT   </w:t>
      </w:r>
      <w:r>
        <w:rPr>
          <w:rFonts w:ascii="Arial" w:hAnsi="Arial" w:cs="Arial"/>
          <w:sz w:val="24"/>
          <w:szCs w:val="24"/>
        </w:rPr>
        <w:tab/>
      </w:r>
      <w:r>
        <w:rPr>
          <w:rFonts w:ascii="Arial" w:hAnsi="Arial" w:cs="Arial"/>
          <w:sz w:val="24"/>
          <w:szCs w:val="24"/>
        </w:rPr>
        <w:tab/>
      </w:r>
      <w:r>
        <w:rPr>
          <w:rFonts w:ascii="Arial" w:hAnsi="Arial" w:cs="Arial"/>
          <w:sz w:val="24"/>
          <w:szCs w:val="24"/>
        </w:rPr>
        <w:tab/>
      </w:r>
      <w:r w:rsidR="00387F5D" w:rsidRPr="00387F5D">
        <w:rPr>
          <w:rFonts w:ascii="Arial" w:hAnsi="Arial" w:cs="Arial"/>
          <w:sz w:val="24"/>
          <w:szCs w:val="24"/>
        </w:rPr>
        <w:t>males generally do better than females</w:t>
      </w:r>
    </w:p>
    <w:p w:rsidR="00387F5D" w:rsidRPr="00387F5D" w:rsidRDefault="00BC008A" w:rsidP="00ED3A31">
      <w:pPr>
        <w:spacing w:after="0" w:line="240" w:lineRule="auto"/>
        <w:ind w:left="1276"/>
        <w:rPr>
          <w:rFonts w:ascii="Arial" w:hAnsi="Arial" w:cs="Arial"/>
          <w:sz w:val="24"/>
          <w:szCs w:val="24"/>
        </w:rPr>
      </w:pPr>
      <w:r>
        <w:rPr>
          <w:rFonts w:ascii="Arial" w:hAnsi="Arial" w:cs="Arial"/>
          <w:sz w:val="24"/>
          <w:szCs w:val="24"/>
        </w:rPr>
        <w:t xml:space="preserve">CVP  </w:t>
      </w:r>
      <w:r w:rsidR="00387F5D" w:rsidRPr="00387F5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387F5D" w:rsidRPr="00387F5D">
        <w:rPr>
          <w:rFonts w:ascii="Arial" w:hAnsi="Arial" w:cs="Arial"/>
          <w:sz w:val="24"/>
          <w:szCs w:val="24"/>
        </w:rPr>
        <w:t>females do better than males</w:t>
      </w:r>
    </w:p>
    <w:p w:rsidR="00387F5D" w:rsidRPr="00387F5D" w:rsidRDefault="00BC008A" w:rsidP="00ED3A31">
      <w:pPr>
        <w:spacing w:after="0" w:line="240" w:lineRule="auto"/>
        <w:ind w:left="1276"/>
        <w:rPr>
          <w:rFonts w:ascii="Arial" w:hAnsi="Arial" w:cs="Arial"/>
          <w:sz w:val="24"/>
          <w:szCs w:val="24"/>
        </w:rPr>
      </w:pPr>
      <w:r>
        <w:rPr>
          <w:rFonts w:ascii="Arial" w:hAnsi="Arial" w:cs="Arial"/>
          <w:sz w:val="24"/>
          <w:szCs w:val="24"/>
        </w:rPr>
        <w:t xml:space="preserve">ENG </w:t>
      </w:r>
      <w:r>
        <w:rPr>
          <w:rFonts w:ascii="Arial" w:hAnsi="Arial" w:cs="Arial"/>
          <w:sz w:val="24"/>
          <w:szCs w:val="24"/>
        </w:rPr>
        <w:tab/>
      </w:r>
      <w:r>
        <w:rPr>
          <w:rFonts w:ascii="Arial" w:hAnsi="Arial" w:cs="Arial"/>
          <w:sz w:val="24"/>
          <w:szCs w:val="24"/>
        </w:rPr>
        <w:tab/>
      </w:r>
      <w:r>
        <w:rPr>
          <w:rFonts w:ascii="Arial" w:hAnsi="Arial" w:cs="Arial"/>
          <w:sz w:val="24"/>
          <w:szCs w:val="24"/>
        </w:rPr>
        <w:tab/>
      </w:r>
      <w:r w:rsidR="00387F5D" w:rsidRPr="00387F5D">
        <w:rPr>
          <w:rFonts w:ascii="Arial" w:hAnsi="Arial" w:cs="Arial"/>
          <w:sz w:val="24"/>
          <w:szCs w:val="24"/>
        </w:rPr>
        <w:t>males do better than females</w:t>
      </w:r>
    </w:p>
    <w:p w:rsidR="00387F5D" w:rsidRPr="00387F5D" w:rsidRDefault="00387F5D" w:rsidP="00ED3A31">
      <w:pPr>
        <w:spacing w:after="0" w:line="240" w:lineRule="auto"/>
        <w:ind w:left="1276"/>
        <w:rPr>
          <w:rFonts w:ascii="Arial" w:hAnsi="Arial" w:cs="Arial"/>
          <w:sz w:val="24"/>
          <w:szCs w:val="24"/>
        </w:rPr>
      </w:pPr>
      <w:r w:rsidRPr="00387F5D">
        <w:rPr>
          <w:rFonts w:ascii="Arial" w:hAnsi="Arial" w:cs="Arial"/>
          <w:sz w:val="24"/>
          <w:szCs w:val="24"/>
        </w:rPr>
        <w:t>Fac6</w:t>
      </w:r>
      <w:r w:rsidR="003D6D52">
        <w:rPr>
          <w:rFonts w:ascii="Arial" w:hAnsi="Arial" w:cs="Arial"/>
          <w:sz w:val="24"/>
          <w:szCs w:val="24"/>
        </w:rPr>
        <w:t>Form</w:t>
      </w:r>
      <w:r w:rsidR="00BC008A">
        <w:rPr>
          <w:rFonts w:ascii="Arial" w:hAnsi="Arial" w:cs="Arial"/>
          <w:sz w:val="24"/>
          <w:szCs w:val="24"/>
        </w:rPr>
        <w:t xml:space="preserve"> </w:t>
      </w:r>
      <w:r w:rsidRPr="00387F5D">
        <w:rPr>
          <w:rFonts w:ascii="Arial" w:hAnsi="Arial" w:cs="Arial"/>
          <w:sz w:val="24"/>
          <w:szCs w:val="24"/>
        </w:rPr>
        <w:t xml:space="preserve"> </w:t>
      </w:r>
      <w:r w:rsidR="00BC008A">
        <w:rPr>
          <w:rFonts w:ascii="Arial" w:hAnsi="Arial" w:cs="Arial"/>
          <w:sz w:val="24"/>
          <w:szCs w:val="24"/>
        </w:rPr>
        <w:tab/>
      </w:r>
      <w:r w:rsidR="00BC008A">
        <w:rPr>
          <w:rFonts w:ascii="Arial" w:hAnsi="Arial" w:cs="Arial"/>
          <w:sz w:val="24"/>
          <w:szCs w:val="24"/>
        </w:rPr>
        <w:tab/>
      </w:r>
      <w:r w:rsidRPr="00387F5D">
        <w:rPr>
          <w:rFonts w:ascii="Arial" w:hAnsi="Arial" w:cs="Arial"/>
          <w:sz w:val="24"/>
          <w:szCs w:val="24"/>
        </w:rPr>
        <w:t>females do better than males</w:t>
      </w:r>
    </w:p>
    <w:p w:rsidR="00387F5D" w:rsidRPr="00387F5D" w:rsidRDefault="00BC008A" w:rsidP="00ED3A31">
      <w:pPr>
        <w:spacing w:after="0" w:line="240" w:lineRule="auto"/>
        <w:ind w:left="1276"/>
        <w:rPr>
          <w:rFonts w:ascii="Arial" w:hAnsi="Arial" w:cs="Arial"/>
          <w:sz w:val="24"/>
          <w:szCs w:val="24"/>
        </w:rPr>
      </w:pPr>
      <w:r>
        <w:rPr>
          <w:rFonts w:ascii="Arial" w:hAnsi="Arial" w:cs="Arial"/>
          <w:sz w:val="24"/>
          <w:szCs w:val="24"/>
        </w:rPr>
        <w:t xml:space="preserve">HAT </w:t>
      </w:r>
      <w:r>
        <w:rPr>
          <w:rFonts w:ascii="Arial" w:hAnsi="Arial" w:cs="Arial"/>
          <w:sz w:val="24"/>
          <w:szCs w:val="24"/>
        </w:rPr>
        <w:tab/>
      </w:r>
      <w:r>
        <w:rPr>
          <w:rFonts w:ascii="Arial" w:hAnsi="Arial" w:cs="Arial"/>
          <w:sz w:val="24"/>
          <w:szCs w:val="24"/>
        </w:rPr>
        <w:tab/>
      </w:r>
      <w:r>
        <w:rPr>
          <w:rFonts w:ascii="Arial" w:hAnsi="Arial" w:cs="Arial"/>
          <w:sz w:val="24"/>
          <w:szCs w:val="24"/>
        </w:rPr>
        <w:tab/>
      </w:r>
      <w:r w:rsidR="00387F5D" w:rsidRPr="00387F5D">
        <w:rPr>
          <w:rFonts w:ascii="Arial" w:hAnsi="Arial" w:cs="Arial"/>
          <w:sz w:val="24"/>
          <w:szCs w:val="24"/>
        </w:rPr>
        <w:t>females do better than males</w:t>
      </w:r>
    </w:p>
    <w:p w:rsidR="00387F5D" w:rsidRDefault="00BC008A" w:rsidP="00ED3A31">
      <w:pPr>
        <w:spacing w:after="0" w:line="240" w:lineRule="auto"/>
        <w:ind w:left="1276"/>
        <w:rPr>
          <w:rFonts w:ascii="Arial" w:hAnsi="Arial" w:cs="Arial"/>
          <w:sz w:val="24"/>
          <w:szCs w:val="24"/>
        </w:rPr>
      </w:pPr>
      <w:proofErr w:type="gramStart"/>
      <w:r>
        <w:rPr>
          <w:rFonts w:ascii="Arial" w:hAnsi="Arial" w:cs="Arial"/>
          <w:sz w:val="24"/>
          <w:szCs w:val="24"/>
        </w:rPr>
        <w:t>MAS</w:t>
      </w:r>
      <w:proofErr w:type="gramEnd"/>
      <w:r>
        <w:rPr>
          <w:rFonts w:ascii="Arial" w:hAnsi="Arial" w:cs="Arial"/>
          <w:sz w:val="24"/>
          <w:szCs w:val="24"/>
        </w:rPr>
        <w:t xml:space="preserve"> </w:t>
      </w:r>
      <w:r w:rsidR="00387F5D" w:rsidRPr="00387F5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387F5D" w:rsidRPr="00387F5D">
        <w:rPr>
          <w:rFonts w:ascii="Arial" w:hAnsi="Arial" w:cs="Arial"/>
          <w:sz w:val="24"/>
          <w:szCs w:val="24"/>
        </w:rPr>
        <w:t>females do better than males</w:t>
      </w:r>
    </w:p>
    <w:p w:rsidR="00BC008A" w:rsidRPr="00387F5D" w:rsidRDefault="00BC008A" w:rsidP="00ED3A31">
      <w:pPr>
        <w:spacing w:after="0" w:line="240" w:lineRule="auto"/>
        <w:ind w:left="1276"/>
        <w:rPr>
          <w:rFonts w:ascii="Arial" w:hAnsi="Arial" w:cs="Arial"/>
          <w:sz w:val="24"/>
          <w:szCs w:val="24"/>
        </w:rPr>
      </w:pPr>
      <w:r>
        <w:rPr>
          <w:rFonts w:ascii="Arial" w:hAnsi="Arial" w:cs="Arial"/>
          <w:sz w:val="24"/>
          <w:szCs w:val="24"/>
        </w:rPr>
        <w:t xml:space="preserve">PVS  </w:t>
      </w:r>
      <w:r>
        <w:rPr>
          <w:rFonts w:ascii="Arial" w:hAnsi="Arial" w:cs="Arial"/>
          <w:sz w:val="24"/>
          <w:szCs w:val="24"/>
        </w:rPr>
        <w:tab/>
      </w:r>
      <w:r>
        <w:rPr>
          <w:rFonts w:ascii="Arial" w:hAnsi="Arial" w:cs="Arial"/>
          <w:sz w:val="24"/>
          <w:szCs w:val="24"/>
        </w:rPr>
        <w:tab/>
      </w:r>
      <w:r>
        <w:rPr>
          <w:rFonts w:ascii="Arial" w:hAnsi="Arial" w:cs="Arial"/>
          <w:sz w:val="24"/>
          <w:szCs w:val="24"/>
        </w:rPr>
        <w:tab/>
        <w:t>males do slightly better than females</w:t>
      </w:r>
    </w:p>
    <w:p w:rsidR="00387F5D" w:rsidRPr="00387F5D" w:rsidRDefault="00BC008A" w:rsidP="00BC008A">
      <w:pPr>
        <w:spacing w:after="0" w:line="240" w:lineRule="auto"/>
        <w:ind w:left="1276"/>
        <w:rPr>
          <w:rFonts w:ascii="Arial" w:hAnsi="Arial" w:cs="Arial"/>
          <w:sz w:val="24"/>
          <w:szCs w:val="24"/>
        </w:rPr>
      </w:pPr>
      <w:r>
        <w:rPr>
          <w:rFonts w:ascii="Arial" w:hAnsi="Arial" w:cs="Arial"/>
          <w:sz w:val="24"/>
          <w:szCs w:val="24"/>
        </w:rPr>
        <w:t xml:space="preserve">SSL </w:t>
      </w:r>
      <w:r w:rsidR="00387F5D" w:rsidRPr="00387F5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387F5D" w:rsidRPr="00387F5D">
        <w:rPr>
          <w:rFonts w:ascii="Arial" w:hAnsi="Arial" w:cs="Arial"/>
          <w:sz w:val="24"/>
          <w:szCs w:val="24"/>
        </w:rPr>
        <w:t>on the whole</w:t>
      </w:r>
      <w:r w:rsidR="003D6D52">
        <w:rPr>
          <w:rFonts w:ascii="Arial" w:hAnsi="Arial" w:cs="Arial"/>
          <w:sz w:val="24"/>
          <w:szCs w:val="24"/>
        </w:rPr>
        <w:t>,</w:t>
      </w:r>
      <w:r w:rsidR="00387F5D" w:rsidRPr="00387F5D">
        <w:rPr>
          <w:rFonts w:ascii="Arial" w:hAnsi="Arial" w:cs="Arial"/>
          <w:sz w:val="24"/>
          <w:szCs w:val="24"/>
        </w:rPr>
        <w:t xml:space="preserve"> females do better than males</w:t>
      </w:r>
      <w:r w:rsidR="003D6D52">
        <w:rPr>
          <w:rFonts w:ascii="Arial" w:hAnsi="Arial" w:cs="Arial"/>
          <w:sz w:val="24"/>
          <w:szCs w:val="24"/>
        </w:rPr>
        <w:t>.</w:t>
      </w:r>
    </w:p>
    <w:p w:rsidR="00387F5D" w:rsidRPr="00387F5D" w:rsidRDefault="00387F5D" w:rsidP="00387F5D">
      <w:pPr>
        <w:rPr>
          <w:rFonts w:ascii="Arial" w:hAnsi="Arial" w:cs="Arial"/>
          <w:b/>
          <w:sz w:val="24"/>
          <w:szCs w:val="24"/>
        </w:rPr>
      </w:pPr>
      <w:r w:rsidRPr="00387F5D">
        <w:rPr>
          <w:rFonts w:ascii="Arial" w:hAnsi="Arial" w:cs="Arial"/>
          <w:b/>
          <w:sz w:val="24"/>
          <w:szCs w:val="24"/>
        </w:rPr>
        <w:t>Ethnicity</w:t>
      </w:r>
    </w:p>
    <w:p w:rsidR="00B504C5" w:rsidRDefault="00387F5D" w:rsidP="00B504C5">
      <w:pPr>
        <w:numPr>
          <w:ilvl w:val="0"/>
          <w:numId w:val="6"/>
        </w:numPr>
        <w:spacing w:after="0" w:line="240" w:lineRule="auto"/>
        <w:rPr>
          <w:rFonts w:ascii="Arial" w:hAnsi="Arial" w:cs="Arial"/>
          <w:sz w:val="24"/>
          <w:szCs w:val="24"/>
        </w:rPr>
      </w:pPr>
      <w:r w:rsidRPr="00387F5D">
        <w:rPr>
          <w:rFonts w:ascii="Arial" w:hAnsi="Arial" w:cs="Arial"/>
          <w:sz w:val="24"/>
          <w:szCs w:val="24"/>
        </w:rPr>
        <w:t>Ethnicity distribution was calculated over the three</w:t>
      </w:r>
      <w:r w:rsidR="003D6D52">
        <w:rPr>
          <w:rFonts w:ascii="Arial" w:hAnsi="Arial" w:cs="Arial"/>
          <w:sz w:val="24"/>
          <w:szCs w:val="24"/>
        </w:rPr>
        <w:t>-</w:t>
      </w:r>
      <w:r w:rsidRPr="00387F5D">
        <w:rPr>
          <w:rFonts w:ascii="Arial" w:hAnsi="Arial" w:cs="Arial"/>
          <w:sz w:val="24"/>
          <w:szCs w:val="24"/>
        </w:rPr>
        <w:t>year period. 2007-2008</w:t>
      </w:r>
      <w:r w:rsidR="003D6D52">
        <w:rPr>
          <w:rFonts w:ascii="Arial" w:hAnsi="Arial" w:cs="Arial"/>
          <w:sz w:val="24"/>
          <w:szCs w:val="24"/>
        </w:rPr>
        <w:t>:</w:t>
      </w:r>
      <w:r w:rsidRPr="00387F5D">
        <w:rPr>
          <w:rFonts w:ascii="Arial" w:hAnsi="Arial" w:cs="Arial"/>
          <w:sz w:val="24"/>
          <w:szCs w:val="24"/>
        </w:rPr>
        <w:t xml:space="preserve"> 94% of enrolments came from white background</w:t>
      </w:r>
      <w:r w:rsidR="003D6D52">
        <w:rPr>
          <w:rFonts w:ascii="Arial" w:hAnsi="Arial" w:cs="Arial"/>
          <w:sz w:val="24"/>
          <w:szCs w:val="24"/>
        </w:rPr>
        <w:t>;</w:t>
      </w:r>
      <w:r w:rsidRPr="00387F5D">
        <w:rPr>
          <w:rFonts w:ascii="Arial" w:hAnsi="Arial" w:cs="Arial"/>
          <w:sz w:val="24"/>
          <w:szCs w:val="24"/>
        </w:rPr>
        <w:t xml:space="preserve"> this declined to</w:t>
      </w:r>
      <w:r w:rsidR="00BC008A">
        <w:rPr>
          <w:rFonts w:ascii="Arial" w:hAnsi="Arial" w:cs="Arial"/>
          <w:sz w:val="24"/>
          <w:szCs w:val="24"/>
        </w:rPr>
        <w:t xml:space="preserve"> approximately</w:t>
      </w:r>
      <w:r w:rsidRPr="00387F5D">
        <w:rPr>
          <w:rFonts w:ascii="Arial" w:hAnsi="Arial" w:cs="Arial"/>
          <w:sz w:val="24"/>
          <w:szCs w:val="24"/>
        </w:rPr>
        <w:t xml:space="preserve"> 89% in 2008-2009 and 2009-2010</w:t>
      </w:r>
    </w:p>
    <w:p w:rsidR="0046034A" w:rsidRPr="00B504C5" w:rsidRDefault="0046034A" w:rsidP="0046034A">
      <w:pPr>
        <w:spacing w:after="0" w:line="240" w:lineRule="auto"/>
        <w:ind w:left="360"/>
        <w:rPr>
          <w:rFonts w:ascii="Arial" w:hAnsi="Arial" w:cs="Arial"/>
          <w:sz w:val="24"/>
          <w:szCs w:val="24"/>
        </w:rPr>
      </w:pPr>
    </w:p>
    <w:p w:rsidR="00B504C5" w:rsidRDefault="00BC008A" w:rsidP="00B504C5">
      <w:pPr>
        <w:numPr>
          <w:ilvl w:val="0"/>
          <w:numId w:val="6"/>
        </w:numPr>
        <w:spacing w:after="0" w:line="240" w:lineRule="auto"/>
        <w:rPr>
          <w:rFonts w:ascii="Arial" w:hAnsi="Arial" w:cs="Arial"/>
          <w:sz w:val="24"/>
          <w:szCs w:val="24"/>
        </w:rPr>
      </w:pPr>
      <w:r>
        <w:rPr>
          <w:rFonts w:ascii="Arial" w:hAnsi="Arial" w:cs="Arial"/>
          <w:sz w:val="24"/>
          <w:szCs w:val="24"/>
        </w:rPr>
        <w:t>Enrolment trends</w:t>
      </w:r>
      <w:r w:rsidR="00387F5D" w:rsidRPr="00387F5D">
        <w:rPr>
          <w:rFonts w:ascii="Arial" w:hAnsi="Arial" w:cs="Arial"/>
          <w:sz w:val="24"/>
          <w:szCs w:val="24"/>
        </w:rPr>
        <w:t xml:space="preserve"> by ethnicity appear to be in line with demographics</w:t>
      </w:r>
      <w:r>
        <w:rPr>
          <w:rFonts w:ascii="Arial" w:hAnsi="Arial" w:cs="Arial"/>
          <w:sz w:val="24"/>
          <w:szCs w:val="24"/>
        </w:rPr>
        <w:t>. However, NPTC has a higher percentage of enrolments from ethnic groups other than white as would be suggested by demographics.</w:t>
      </w:r>
    </w:p>
    <w:p w:rsidR="0046034A" w:rsidRPr="00B504C5" w:rsidRDefault="0046034A" w:rsidP="0046034A">
      <w:pPr>
        <w:spacing w:after="0" w:line="240" w:lineRule="auto"/>
        <w:ind w:left="720"/>
        <w:rPr>
          <w:rFonts w:ascii="Arial" w:hAnsi="Arial" w:cs="Arial"/>
          <w:sz w:val="24"/>
          <w:szCs w:val="24"/>
        </w:rPr>
      </w:pPr>
    </w:p>
    <w:p w:rsidR="00B504C5" w:rsidRDefault="00387F5D" w:rsidP="00B504C5">
      <w:pPr>
        <w:numPr>
          <w:ilvl w:val="0"/>
          <w:numId w:val="6"/>
        </w:numPr>
        <w:spacing w:after="0" w:line="240" w:lineRule="auto"/>
        <w:rPr>
          <w:rFonts w:ascii="Arial" w:hAnsi="Arial" w:cs="Arial"/>
          <w:sz w:val="24"/>
          <w:szCs w:val="24"/>
        </w:rPr>
      </w:pPr>
      <w:r w:rsidRPr="00387F5D">
        <w:rPr>
          <w:rFonts w:ascii="Arial" w:hAnsi="Arial" w:cs="Arial"/>
          <w:sz w:val="24"/>
          <w:szCs w:val="24"/>
        </w:rPr>
        <w:t>In the case of approximately 8% of learners</w:t>
      </w:r>
      <w:r w:rsidR="003D6D52">
        <w:rPr>
          <w:rFonts w:ascii="Arial" w:hAnsi="Arial" w:cs="Arial"/>
          <w:sz w:val="24"/>
          <w:szCs w:val="24"/>
        </w:rPr>
        <w:t>,</w:t>
      </w:r>
      <w:r w:rsidRPr="00387F5D">
        <w:rPr>
          <w:rFonts w:ascii="Arial" w:hAnsi="Arial" w:cs="Arial"/>
          <w:sz w:val="24"/>
          <w:szCs w:val="24"/>
        </w:rPr>
        <w:t xml:space="preserve"> it is impossible to determine their ethnic origin as either this information is refused (a very small number of cases) or the information is not collected on the enrolment form</w:t>
      </w:r>
    </w:p>
    <w:p w:rsidR="0046034A" w:rsidRPr="00B504C5" w:rsidRDefault="0046034A" w:rsidP="0046034A">
      <w:pPr>
        <w:spacing w:after="0" w:line="240" w:lineRule="auto"/>
        <w:ind w:left="360"/>
        <w:rPr>
          <w:rFonts w:ascii="Arial" w:hAnsi="Arial" w:cs="Arial"/>
          <w:sz w:val="24"/>
          <w:szCs w:val="24"/>
        </w:rPr>
      </w:pPr>
    </w:p>
    <w:p w:rsidR="0046034A" w:rsidRDefault="00387F5D" w:rsidP="0046034A">
      <w:pPr>
        <w:numPr>
          <w:ilvl w:val="0"/>
          <w:numId w:val="6"/>
        </w:numPr>
        <w:spacing w:after="0" w:line="240" w:lineRule="auto"/>
        <w:rPr>
          <w:rFonts w:ascii="Arial" w:hAnsi="Arial" w:cs="Arial"/>
          <w:sz w:val="24"/>
          <w:szCs w:val="24"/>
        </w:rPr>
      </w:pPr>
      <w:r w:rsidRPr="00387F5D">
        <w:rPr>
          <w:rFonts w:ascii="Arial" w:hAnsi="Arial" w:cs="Arial"/>
          <w:sz w:val="24"/>
          <w:szCs w:val="24"/>
        </w:rPr>
        <w:t xml:space="preserve">Students from ethnic backgrounds other than </w:t>
      </w:r>
      <w:r w:rsidR="00981446">
        <w:rPr>
          <w:rFonts w:ascii="Arial" w:hAnsi="Arial" w:cs="Arial"/>
          <w:sz w:val="24"/>
          <w:szCs w:val="24"/>
        </w:rPr>
        <w:t xml:space="preserve">white are still in small numbers </w:t>
      </w:r>
      <w:r w:rsidRPr="00387F5D">
        <w:rPr>
          <w:rFonts w:ascii="Arial" w:hAnsi="Arial" w:cs="Arial"/>
          <w:sz w:val="24"/>
          <w:szCs w:val="24"/>
        </w:rPr>
        <w:t>and therefore it is important to bear this in mind when looking at data on retention and success</w:t>
      </w:r>
    </w:p>
    <w:p w:rsidR="0046034A" w:rsidRPr="0046034A" w:rsidRDefault="0046034A" w:rsidP="0046034A">
      <w:pPr>
        <w:spacing w:after="0" w:line="240" w:lineRule="auto"/>
        <w:ind w:left="360"/>
        <w:rPr>
          <w:rFonts w:ascii="Arial" w:hAnsi="Arial" w:cs="Arial"/>
          <w:sz w:val="24"/>
          <w:szCs w:val="24"/>
        </w:rPr>
      </w:pPr>
    </w:p>
    <w:p w:rsidR="00387F5D" w:rsidRDefault="00387F5D" w:rsidP="00387F5D">
      <w:pPr>
        <w:numPr>
          <w:ilvl w:val="0"/>
          <w:numId w:val="6"/>
        </w:numPr>
        <w:spacing w:after="0" w:line="240" w:lineRule="auto"/>
        <w:rPr>
          <w:rFonts w:ascii="Arial" w:hAnsi="Arial" w:cs="Arial"/>
          <w:sz w:val="24"/>
          <w:szCs w:val="24"/>
        </w:rPr>
      </w:pPr>
      <w:r w:rsidRPr="00387F5D">
        <w:rPr>
          <w:rFonts w:ascii="Arial" w:hAnsi="Arial" w:cs="Arial"/>
          <w:sz w:val="24"/>
          <w:szCs w:val="24"/>
        </w:rPr>
        <w:t>When comparing the trends within a particular ethnic group</w:t>
      </w:r>
      <w:r w:rsidR="0046034A">
        <w:rPr>
          <w:rFonts w:ascii="Arial" w:hAnsi="Arial" w:cs="Arial"/>
          <w:sz w:val="24"/>
          <w:szCs w:val="24"/>
        </w:rPr>
        <w:t>,</w:t>
      </w:r>
      <w:r w:rsidRPr="00387F5D">
        <w:rPr>
          <w:rFonts w:ascii="Arial" w:hAnsi="Arial" w:cs="Arial"/>
          <w:sz w:val="24"/>
          <w:szCs w:val="24"/>
        </w:rPr>
        <w:t xml:space="preserve"> it can be seen that:</w:t>
      </w:r>
    </w:p>
    <w:p w:rsidR="00387F5D" w:rsidRPr="00387F5D" w:rsidRDefault="009C7C6A" w:rsidP="00ED3A31">
      <w:pPr>
        <w:spacing w:after="0" w:line="240" w:lineRule="auto"/>
        <w:ind w:left="1276"/>
        <w:rPr>
          <w:rFonts w:ascii="Arial" w:hAnsi="Arial" w:cs="Arial"/>
          <w:sz w:val="24"/>
          <w:szCs w:val="24"/>
        </w:rPr>
      </w:pPr>
      <w:r>
        <w:rPr>
          <w:rFonts w:ascii="Arial" w:hAnsi="Arial" w:cs="Arial"/>
          <w:sz w:val="24"/>
          <w:szCs w:val="24"/>
        </w:rPr>
        <w:t>W</w:t>
      </w:r>
      <w:r w:rsidR="00BC008A">
        <w:rPr>
          <w:rFonts w:ascii="Arial" w:hAnsi="Arial" w:cs="Arial"/>
          <w:sz w:val="24"/>
          <w:szCs w:val="24"/>
        </w:rPr>
        <w:t xml:space="preserve">hite  </w:t>
      </w:r>
      <w:r w:rsidR="00BC008A">
        <w:rPr>
          <w:rFonts w:ascii="Arial" w:hAnsi="Arial" w:cs="Arial"/>
          <w:sz w:val="24"/>
          <w:szCs w:val="24"/>
        </w:rPr>
        <w:tab/>
      </w:r>
      <w:r w:rsidR="00BC008A">
        <w:rPr>
          <w:rFonts w:ascii="Arial" w:hAnsi="Arial" w:cs="Arial"/>
          <w:sz w:val="24"/>
          <w:szCs w:val="24"/>
        </w:rPr>
        <w:tab/>
      </w:r>
      <w:r w:rsidR="00BC008A">
        <w:rPr>
          <w:rFonts w:ascii="Arial" w:hAnsi="Arial" w:cs="Arial"/>
          <w:sz w:val="24"/>
          <w:szCs w:val="24"/>
        </w:rPr>
        <w:tab/>
      </w:r>
      <w:r w:rsidR="00387F5D" w:rsidRPr="00387F5D">
        <w:rPr>
          <w:rFonts w:ascii="Arial" w:hAnsi="Arial" w:cs="Arial"/>
          <w:sz w:val="24"/>
          <w:szCs w:val="24"/>
        </w:rPr>
        <w:t>success by gender is currently the same</w:t>
      </w:r>
    </w:p>
    <w:p w:rsidR="00387F5D" w:rsidRPr="00387F5D" w:rsidRDefault="00BC008A" w:rsidP="00ED3A31">
      <w:pPr>
        <w:spacing w:after="0" w:line="240" w:lineRule="auto"/>
        <w:ind w:left="1276"/>
        <w:rPr>
          <w:rFonts w:ascii="Arial" w:hAnsi="Arial" w:cs="Arial"/>
          <w:sz w:val="24"/>
          <w:szCs w:val="24"/>
        </w:rPr>
      </w:pPr>
      <w:r>
        <w:rPr>
          <w:rFonts w:ascii="Arial" w:hAnsi="Arial" w:cs="Arial"/>
          <w:sz w:val="24"/>
          <w:szCs w:val="24"/>
        </w:rPr>
        <w:t xml:space="preserve">Black Caribbean </w:t>
      </w:r>
      <w:r>
        <w:rPr>
          <w:rFonts w:ascii="Arial" w:hAnsi="Arial" w:cs="Arial"/>
          <w:sz w:val="24"/>
          <w:szCs w:val="24"/>
        </w:rPr>
        <w:tab/>
      </w:r>
      <w:r w:rsidR="00387F5D" w:rsidRPr="00387F5D">
        <w:rPr>
          <w:rFonts w:ascii="Arial" w:hAnsi="Arial" w:cs="Arial"/>
          <w:sz w:val="24"/>
          <w:szCs w:val="24"/>
        </w:rPr>
        <w:t>males outperform females</w:t>
      </w:r>
    </w:p>
    <w:p w:rsidR="00387F5D" w:rsidRPr="00387F5D" w:rsidRDefault="00BC008A" w:rsidP="00ED3A31">
      <w:pPr>
        <w:spacing w:after="0" w:line="240" w:lineRule="auto"/>
        <w:ind w:left="1276"/>
        <w:rPr>
          <w:rFonts w:ascii="Arial" w:hAnsi="Arial" w:cs="Arial"/>
          <w:sz w:val="24"/>
          <w:szCs w:val="24"/>
        </w:rPr>
      </w:pPr>
      <w:r>
        <w:rPr>
          <w:rFonts w:ascii="Arial" w:hAnsi="Arial" w:cs="Arial"/>
          <w:sz w:val="24"/>
          <w:szCs w:val="24"/>
        </w:rPr>
        <w:t xml:space="preserve">Black African </w:t>
      </w:r>
      <w:r w:rsidR="00387F5D" w:rsidRPr="00387F5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387F5D" w:rsidRPr="00387F5D">
        <w:rPr>
          <w:rFonts w:ascii="Arial" w:hAnsi="Arial" w:cs="Arial"/>
          <w:sz w:val="24"/>
          <w:szCs w:val="24"/>
        </w:rPr>
        <w:t>females outperform males</w:t>
      </w:r>
    </w:p>
    <w:p w:rsidR="00387F5D" w:rsidRPr="00387F5D" w:rsidRDefault="00BC008A" w:rsidP="00ED3A31">
      <w:pPr>
        <w:spacing w:after="0" w:line="240" w:lineRule="auto"/>
        <w:ind w:left="1276"/>
        <w:rPr>
          <w:rFonts w:ascii="Arial" w:hAnsi="Arial" w:cs="Arial"/>
          <w:sz w:val="24"/>
          <w:szCs w:val="24"/>
        </w:rPr>
      </w:pPr>
      <w:r>
        <w:rPr>
          <w:rFonts w:ascii="Arial" w:hAnsi="Arial" w:cs="Arial"/>
          <w:sz w:val="24"/>
          <w:szCs w:val="24"/>
        </w:rPr>
        <w:t xml:space="preserve">Asian Indian </w:t>
      </w:r>
      <w:r>
        <w:rPr>
          <w:rFonts w:ascii="Arial" w:hAnsi="Arial" w:cs="Arial"/>
          <w:sz w:val="24"/>
          <w:szCs w:val="24"/>
        </w:rPr>
        <w:tab/>
      </w:r>
      <w:r>
        <w:rPr>
          <w:rFonts w:ascii="Arial" w:hAnsi="Arial" w:cs="Arial"/>
          <w:sz w:val="24"/>
          <w:szCs w:val="24"/>
        </w:rPr>
        <w:tab/>
      </w:r>
      <w:r w:rsidR="00387F5D" w:rsidRPr="00387F5D">
        <w:rPr>
          <w:rFonts w:ascii="Arial" w:hAnsi="Arial" w:cs="Arial"/>
          <w:sz w:val="24"/>
          <w:szCs w:val="24"/>
        </w:rPr>
        <w:t>males generally outperform females</w:t>
      </w:r>
    </w:p>
    <w:p w:rsidR="00387F5D" w:rsidRPr="00387F5D" w:rsidRDefault="00BC008A" w:rsidP="00ED3A31">
      <w:pPr>
        <w:spacing w:after="0" w:line="240" w:lineRule="auto"/>
        <w:ind w:left="1276"/>
        <w:rPr>
          <w:rFonts w:ascii="Arial" w:hAnsi="Arial" w:cs="Arial"/>
          <w:sz w:val="24"/>
          <w:szCs w:val="24"/>
        </w:rPr>
      </w:pPr>
      <w:r>
        <w:rPr>
          <w:rFonts w:ascii="Arial" w:hAnsi="Arial" w:cs="Arial"/>
          <w:sz w:val="24"/>
          <w:szCs w:val="24"/>
        </w:rPr>
        <w:t xml:space="preserve">Asian Pakistani </w:t>
      </w:r>
      <w:r w:rsidR="00387F5D" w:rsidRPr="00387F5D">
        <w:rPr>
          <w:rFonts w:ascii="Arial" w:hAnsi="Arial" w:cs="Arial"/>
          <w:sz w:val="24"/>
          <w:szCs w:val="24"/>
        </w:rPr>
        <w:t xml:space="preserve"> </w:t>
      </w:r>
      <w:r>
        <w:rPr>
          <w:rFonts w:ascii="Arial" w:hAnsi="Arial" w:cs="Arial"/>
          <w:sz w:val="24"/>
          <w:szCs w:val="24"/>
        </w:rPr>
        <w:tab/>
      </w:r>
      <w:r w:rsidR="00387F5D" w:rsidRPr="00387F5D">
        <w:rPr>
          <w:rFonts w:ascii="Arial" w:hAnsi="Arial" w:cs="Arial"/>
          <w:sz w:val="24"/>
          <w:szCs w:val="24"/>
        </w:rPr>
        <w:t>females outperform males</w:t>
      </w:r>
    </w:p>
    <w:p w:rsidR="00387F5D" w:rsidRPr="00387F5D" w:rsidRDefault="00BC008A" w:rsidP="00ED3A31">
      <w:pPr>
        <w:spacing w:after="0" w:line="240" w:lineRule="auto"/>
        <w:ind w:left="1276"/>
        <w:rPr>
          <w:rFonts w:ascii="Arial" w:hAnsi="Arial" w:cs="Arial"/>
          <w:sz w:val="24"/>
          <w:szCs w:val="24"/>
        </w:rPr>
      </w:pPr>
      <w:r>
        <w:rPr>
          <w:rFonts w:ascii="Arial" w:hAnsi="Arial" w:cs="Arial"/>
          <w:sz w:val="24"/>
          <w:szCs w:val="24"/>
        </w:rPr>
        <w:t xml:space="preserve">Asian Bangladeshi </w:t>
      </w:r>
      <w:r>
        <w:rPr>
          <w:rFonts w:ascii="Arial" w:hAnsi="Arial" w:cs="Arial"/>
          <w:sz w:val="24"/>
          <w:szCs w:val="24"/>
        </w:rPr>
        <w:tab/>
      </w:r>
      <w:r w:rsidR="00387F5D" w:rsidRPr="00387F5D">
        <w:rPr>
          <w:rFonts w:ascii="Arial" w:hAnsi="Arial" w:cs="Arial"/>
          <w:sz w:val="24"/>
          <w:szCs w:val="24"/>
        </w:rPr>
        <w:t>females outperform males</w:t>
      </w:r>
    </w:p>
    <w:p w:rsidR="00387F5D" w:rsidRPr="00387F5D" w:rsidRDefault="00BC008A" w:rsidP="00ED3A31">
      <w:pPr>
        <w:spacing w:after="0" w:line="240" w:lineRule="auto"/>
        <w:ind w:left="1276"/>
        <w:rPr>
          <w:rFonts w:ascii="Arial" w:hAnsi="Arial" w:cs="Arial"/>
          <w:sz w:val="24"/>
          <w:szCs w:val="24"/>
        </w:rPr>
      </w:pPr>
      <w:r>
        <w:rPr>
          <w:rFonts w:ascii="Arial" w:hAnsi="Arial" w:cs="Arial"/>
          <w:sz w:val="24"/>
          <w:szCs w:val="24"/>
        </w:rPr>
        <w:t xml:space="preserve">Chinese </w:t>
      </w:r>
      <w:r>
        <w:rPr>
          <w:rFonts w:ascii="Arial" w:hAnsi="Arial" w:cs="Arial"/>
          <w:sz w:val="24"/>
          <w:szCs w:val="24"/>
        </w:rPr>
        <w:tab/>
      </w:r>
      <w:r>
        <w:rPr>
          <w:rFonts w:ascii="Arial" w:hAnsi="Arial" w:cs="Arial"/>
          <w:sz w:val="24"/>
          <w:szCs w:val="24"/>
        </w:rPr>
        <w:tab/>
      </w:r>
      <w:r w:rsidR="00387F5D" w:rsidRPr="00387F5D">
        <w:rPr>
          <w:rFonts w:ascii="Arial" w:hAnsi="Arial" w:cs="Arial"/>
          <w:sz w:val="24"/>
          <w:szCs w:val="24"/>
        </w:rPr>
        <w:t>males outperform females</w:t>
      </w:r>
    </w:p>
    <w:p w:rsidR="00387F5D" w:rsidRPr="00387F5D" w:rsidRDefault="00387F5D" w:rsidP="00387F5D">
      <w:pPr>
        <w:ind w:left="360"/>
        <w:rPr>
          <w:rFonts w:ascii="Arial" w:hAnsi="Arial" w:cs="Arial"/>
          <w:sz w:val="24"/>
          <w:szCs w:val="24"/>
        </w:rPr>
      </w:pPr>
    </w:p>
    <w:p w:rsidR="00387F5D" w:rsidRDefault="00387F5D" w:rsidP="00387F5D">
      <w:pPr>
        <w:ind w:left="360"/>
        <w:rPr>
          <w:rFonts w:ascii="Arial" w:hAnsi="Arial" w:cs="Arial"/>
          <w:sz w:val="24"/>
          <w:szCs w:val="24"/>
        </w:rPr>
      </w:pPr>
      <w:r w:rsidRPr="00387F5D">
        <w:rPr>
          <w:rFonts w:ascii="Arial" w:hAnsi="Arial" w:cs="Arial"/>
          <w:sz w:val="24"/>
          <w:szCs w:val="24"/>
        </w:rPr>
        <w:t xml:space="preserve">It is possible to analyse the success of one ethnic group with another but this has yet to be done. Concerns regarding the very small numbers of learners in some ethnic groups may mean that the data is skewed. </w:t>
      </w:r>
    </w:p>
    <w:p w:rsidR="00B504C5" w:rsidRPr="00387F5D" w:rsidRDefault="00B504C5" w:rsidP="00387F5D">
      <w:pPr>
        <w:ind w:left="360"/>
        <w:rPr>
          <w:rFonts w:ascii="Arial" w:hAnsi="Arial" w:cs="Arial"/>
          <w:sz w:val="24"/>
          <w:szCs w:val="24"/>
        </w:rPr>
      </w:pPr>
    </w:p>
    <w:p w:rsidR="00387F5D" w:rsidRPr="00387F5D" w:rsidRDefault="00387F5D" w:rsidP="00B653A6">
      <w:pPr>
        <w:ind w:left="360" w:hanging="360"/>
        <w:rPr>
          <w:rFonts w:ascii="Arial" w:hAnsi="Arial" w:cs="Arial"/>
          <w:b/>
          <w:sz w:val="24"/>
          <w:szCs w:val="24"/>
        </w:rPr>
      </w:pPr>
      <w:r w:rsidRPr="00387F5D">
        <w:rPr>
          <w:rFonts w:ascii="Arial" w:hAnsi="Arial" w:cs="Arial"/>
          <w:b/>
          <w:sz w:val="24"/>
          <w:szCs w:val="24"/>
        </w:rPr>
        <w:t xml:space="preserve">Learners with </w:t>
      </w:r>
      <w:r w:rsidR="003D6D52">
        <w:rPr>
          <w:rFonts w:ascii="Arial" w:hAnsi="Arial" w:cs="Arial"/>
          <w:b/>
          <w:sz w:val="24"/>
          <w:szCs w:val="24"/>
        </w:rPr>
        <w:t>L</w:t>
      </w:r>
      <w:r w:rsidRPr="00387F5D">
        <w:rPr>
          <w:rFonts w:ascii="Arial" w:hAnsi="Arial" w:cs="Arial"/>
          <w:b/>
          <w:sz w:val="24"/>
          <w:szCs w:val="24"/>
        </w:rPr>
        <w:t xml:space="preserve">earning </w:t>
      </w:r>
      <w:r w:rsidR="003D6D52">
        <w:rPr>
          <w:rFonts w:ascii="Arial" w:hAnsi="Arial" w:cs="Arial"/>
          <w:b/>
          <w:sz w:val="24"/>
          <w:szCs w:val="24"/>
        </w:rPr>
        <w:t>D</w:t>
      </w:r>
      <w:r w:rsidRPr="00387F5D">
        <w:rPr>
          <w:rFonts w:ascii="Arial" w:hAnsi="Arial" w:cs="Arial"/>
          <w:b/>
          <w:sz w:val="24"/>
          <w:szCs w:val="24"/>
        </w:rPr>
        <w:t>ifficulties/</w:t>
      </w:r>
      <w:r w:rsidR="003D6D52">
        <w:rPr>
          <w:rFonts w:ascii="Arial" w:hAnsi="Arial" w:cs="Arial"/>
          <w:b/>
          <w:sz w:val="24"/>
          <w:szCs w:val="24"/>
        </w:rPr>
        <w:t>D</w:t>
      </w:r>
      <w:r w:rsidRPr="00387F5D">
        <w:rPr>
          <w:rFonts w:ascii="Arial" w:hAnsi="Arial" w:cs="Arial"/>
          <w:b/>
          <w:sz w:val="24"/>
          <w:szCs w:val="24"/>
        </w:rPr>
        <w:t>isability</w:t>
      </w:r>
    </w:p>
    <w:p w:rsidR="00387F5D" w:rsidRDefault="00387F5D" w:rsidP="0046034A">
      <w:pPr>
        <w:numPr>
          <w:ilvl w:val="0"/>
          <w:numId w:val="12"/>
        </w:numPr>
        <w:tabs>
          <w:tab w:val="clear" w:pos="1215"/>
          <w:tab w:val="num" w:pos="709"/>
        </w:tabs>
        <w:spacing w:after="0" w:line="240" w:lineRule="auto"/>
        <w:ind w:left="709" w:hanging="425"/>
        <w:rPr>
          <w:rFonts w:ascii="Arial" w:hAnsi="Arial" w:cs="Arial"/>
          <w:sz w:val="24"/>
          <w:szCs w:val="24"/>
        </w:rPr>
      </w:pPr>
      <w:r w:rsidRPr="00387F5D">
        <w:rPr>
          <w:rFonts w:ascii="Arial" w:hAnsi="Arial" w:cs="Arial"/>
          <w:sz w:val="24"/>
          <w:szCs w:val="24"/>
        </w:rPr>
        <w:t>The data was analysed on the basis of the number of enrolments from learners who on their enrolment form considered themselves as having a learning difficulty and/or disability</w:t>
      </w:r>
    </w:p>
    <w:p w:rsidR="00B504C5" w:rsidRPr="00387F5D" w:rsidRDefault="00B504C5" w:rsidP="00B504C5">
      <w:pPr>
        <w:spacing w:after="0" w:line="240" w:lineRule="auto"/>
        <w:ind w:left="360"/>
        <w:rPr>
          <w:rFonts w:ascii="Arial" w:hAnsi="Arial" w:cs="Arial"/>
          <w:sz w:val="24"/>
          <w:szCs w:val="24"/>
        </w:rPr>
      </w:pPr>
    </w:p>
    <w:p w:rsidR="00387F5D" w:rsidRDefault="00387F5D" w:rsidP="0046034A">
      <w:pPr>
        <w:numPr>
          <w:ilvl w:val="0"/>
          <w:numId w:val="9"/>
        </w:numPr>
        <w:tabs>
          <w:tab w:val="clear" w:pos="1080"/>
          <w:tab w:val="num" w:pos="709"/>
        </w:tabs>
        <w:spacing w:after="0" w:line="240" w:lineRule="auto"/>
        <w:ind w:left="709" w:hanging="425"/>
        <w:rPr>
          <w:rFonts w:ascii="Arial" w:hAnsi="Arial" w:cs="Arial"/>
          <w:sz w:val="24"/>
          <w:szCs w:val="24"/>
        </w:rPr>
      </w:pPr>
      <w:r w:rsidRPr="00387F5D">
        <w:rPr>
          <w:rFonts w:ascii="Arial" w:hAnsi="Arial" w:cs="Arial"/>
          <w:sz w:val="24"/>
          <w:szCs w:val="24"/>
        </w:rPr>
        <w:t xml:space="preserve">The percentage of learners in this category in 2007-2008 was 2.3 %. This increased to 7.7 % in 2008-2009 and 8.0% in 2009-10. The consistency shown in the years 2008-2009 and 2009-2010 indicates that the </w:t>
      </w:r>
      <w:r w:rsidR="003D6D52">
        <w:rPr>
          <w:rFonts w:ascii="Arial" w:hAnsi="Arial" w:cs="Arial"/>
          <w:sz w:val="24"/>
          <w:szCs w:val="24"/>
        </w:rPr>
        <w:t>C</w:t>
      </w:r>
      <w:r w:rsidRPr="00387F5D">
        <w:rPr>
          <w:rFonts w:ascii="Arial" w:hAnsi="Arial" w:cs="Arial"/>
          <w:sz w:val="24"/>
          <w:szCs w:val="24"/>
        </w:rPr>
        <w:t>ollege is now better in collecting this data</w:t>
      </w:r>
    </w:p>
    <w:p w:rsidR="00B504C5" w:rsidRPr="00387F5D" w:rsidRDefault="00B504C5" w:rsidP="00B504C5">
      <w:pPr>
        <w:spacing w:after="0" w:line="240" w:lineRule="auto"/>
        <w:ind w:left="360"/>
        <w:rPr>
          <w:rFonts w:ascii="Arial" w:hAnsi="Arial" w:cs="Arial"/>
          <w:sz w:val="24"/>
          <w:szCs w:val="24"/>
        </w:rPr>
      </w:pPr>
    </w:p>
    <w:p w:rsidR="00B504C5" w:rsidRDefault="00387F5D" w:rsidP="009C7C6A">
      <w:pPr>
        <w:numPr>
          <w:ilvl w:val="0"/>
          <w:numId w:val="9"/>
        </w:numPr>
        <w:tabs>
          <w:tab w:val="clear" w:pos="1080"/>
          <w:tab w:val="num" w:pos="709"/>
        </w:tabs>
        <w:spacing w:after="0" w:line="240" w:lineRule="auto"/>
        <w:ind w:left="709" w:hanging="425"/>
        <w:rPr>
          <w:rFonts w:ascii="Arial" w:hAnsi="Arial" w:cs="Arial"/>
          <w:sz w:val="24"/>
          <w:szCs w:val="24"/>
        </w:rPr>
      </w:pPr>
      <w:r w:rsidRPr="00387F5D">
        <w:rPr>
          <w:rFonts w:ascii="Arial" w:hAnsi="Arial" w:cs="Arial"/>
          <w:sz w:val="24"/>
          <w:szCs w:val="24"/>
        </w:rPr>
        <w:t>In each year in question</w:t>
      </w:r>
      <w:r w:rsidR="003D6D52">
        <w:rPr>
          <w:rFonts w:ascii="Arial" w:hAnsi="Arial" w:cs="Arial"/>
          <w:sz w:val="24"/>
          <w:szCs w:val="24"/>
        </w:rPr>
        <w:t>,</w:t>
      </w:r>
      <w:r w:rsidRPr="00387F5D">
        <w:rPr>
          <w:rFonts w:ascii="Arial" w:hAnsi="Arial" w:cs="Arial"/>
          <w:sz w:val="24"/>
          <w:szCs w:val="24"/>
        </w:rPr>
        <w:t xml:space="preserve"> the </w:t>
      </w:r>
      <w:r w:rsidR="003D6D52">
        <w:rPr>
          <w:rFonts w:ascii="Arial" w:hAnsi="Arial" w:cs="Arial"/>
          <w:sz w:val="24"/>
          <w:szCs w:val="24"/>
        </w:rPr>
        <w:t>S</w:t>
      </w:r>
      <w:r w:rsidRPr="00387F5D">
        <w:rPr>
          <w:rFonts w:ascii="Arial" w:hAnsi="Arial" w:cs="Arial"/>
          <w:sz w:val="24"/>
          <w:szCs w:val="24"/>
        </w:rPr>
        <w:t>chool with the highest percentage of learners with learning difficulties and/or disabilities was the School of Pre</w:t>
      </w:r>
      <w:r w:rsidR="003D6D52">
        <w:rPr>
          <w:rFonts w:ascii="Arial" w:hAnsi="Arial" w:cs="Arial"/>
          <w:sz w:val="24"/>
          <w:szCs w:val="24"/>
        </w:rPr>
        <w:t>-</w:t>
      </w:r>
      <w:r w:rsidRPr="00387F5D">
        <w:rPr>
          <w:rFonts w:ascii="Arial" w:hAnsi="Arial" w:cs="Arial"/>
          <w:sz w:val="24"/>
          <w:szCs w:val="24"/>
        </w:rPr>
        <w:t>Vocational studies as expected. The percentage o</w:t>
      </w:r>
      <w:r w:rsidR="00E21F9D">
        <w:rPr>
          <w:rFonts w:ascii="Arial" w:hAnsi="Arial" w:cs="Arial"/>
          <w:sz w:val="24"/>
          <w:szCs w:val="24"/>
        </w:rPr>
        <w:t xml:space="preserve">f such learners in other </w:t>
      </w:r>
      <w:r w:rsidR="003D6D52">
        <w:rPr>
          <w:rFonts w:ascii="Arial" w:hAnsi="Arial" w:cs="Arial"/>
          <w:sz w:val="24"/>
          <w:szCs w:val="24"/>
        </w:rPr>
        <w:t>S</w:t>
      </w:r>
      <w:r w:rsidR="00E21F9D">
        <w:rPr>
          <w:rFonts w:ascii="Arial" w:hAnsi="Arial" w:cs="Arial"/>
          <w:sz w:val="24"/>
          <w:szCs w:val="24"/>
        </w:rPr>
        <w:t xml:space="preserve">chools </w:t>
      </w:r>
      <w:r w:rsidRPr="00387F5D">
        <w:rPr>
          <w:rFonts w:ascii="Arial" w:hAnsi="Arial" w:cs="Arial"/>
          <w:sz w:val="24"/>
          <w:szCs w:val="24"/>
        </w:rPr>
        <w:t>was also calculated</w:t>
      </w:r>
    </w:p>
    <w:p w:rsidR="009C7C6A" w:rsidRPr="00971CE6" w:rsidRDefault="009C7C6A" w:rsidP="009C7C6A">
      <w:pPr>
        <w:spacing w:after="0" w:line="240" w:lineRule="auto"/>
        <w:ind w:left="360"/>
        <w:rPr>
          <w:rFonts w:ascii="Arial" w:hAnsi="Arial" w:cs="Arial"/>
          <w:sz w:val="24"/>
          <w:szCs w:val="24"/>
        </w:rPr>
      </w:pPr>
    </w:p>
    <w:p w:rsidR="00387F5D" w:rsidRPr="00387F5D" w:rsidRDefault="00387F5D" w:rsidP="009C7C6A">
      <w:pPr>
        <w:numPr>
          <w:ilvl w:val="0"/>
          <w:numId w:val="9"/>
        </w:numPr>
        <w:tabs>
          <w:tab w:val="clear" w:pos="1080"/>
        </w:tabs>
        <w:spacing w:after="0" w:line="240" w:lineRule="auto"/>
        <w:ind w:left="709" w:hanging="425"/>
        <w:rPr>
          <w:rFonts w:ascii="Arial" w:hAnsi="Arial" w:cs="Arial"/>
          <w:sz w:val="24"/>
          <w:szCs w:val="24"/>
        </w:rPr>
      </w:pPr>
      <w:r w:rsidRPr="00387F5D">
        <w:rPr>
          <w:rFonts w:ascii="Arial" w:hAnsi="Arial" w:cs="Arial"/>
          <w:sz w:val="24"/>
          <w:szCs w:val="24"/>
        </w:rPr>
        <w:t xml:space="preserve">It was surprising to note that for each year in question the retention, attainment and success for males and females with learning difficulties and/or disabilities was higher than for those learners without learning difficulties and/or disabilities. </w:t>
      </w:r>
    </w:p>
    <w:p w:rsidR="00387F5D" w:rsidRDefault="00387F5D" w:rsidP="00387F5D">
      <w:pPr>
        <w:rPr>
          <w:rFonts w:ascii="Arial" w:hAnsi="Arial" w:cs="Arial"/>
          <w:sz w:val="24"/>
          <w:szCs w:val="24"/>
        </w:rPr>
      </w:pPr>
    </w:p>
    <w:p w:rsidR="00387F5D" w:rsidRPr="00387F5D" w:rsidRDefault="00387F5D" w:rsidP="00387F5D">
      <w:pPr>
        <w:rPr>
          <w:rFonts w:ascii="Arial" w:hAnsi="Arial" w:cs="Arial"/>
          <w:sz w:val="24"/>
          <w:szCs w:val="24"/>
        </w:rPr>
      </w:pPr>
      <w:r w:rsidRPr="00387F5D">
        <w:rPr>
          <w:rFonts w:ascii="Arial" w:hAnsi="Arial" w:cs="Arial"/>
          <w:sz w:val="24"/>
          <w:szCs w:val="24"/>
        </w:rPr>
        <w:t>More work is needed with regard to data in this area. Further information is available on the Learner Health Statement but it is uncertain if all this information is fed back into QL in order to analyse success data. It is possible that a learner may consider themselves to have a disability and/or learning difficulty and the College may disagree. The reverse is also true. A learner may also be considere</w:t>
      </w:r>
      <w:r w:rsidR="00E21F9D">
        <w:rPr>
          <w:rFonts w:ascii="Arial" w:hAnsi="Arial" w:cs="Arial"/>
          <w:sz w:val="24"/>
          <w:szCs w:val="24"/>
        </w:rPr>
        <w:t>d as disabled for</w:t>
      </w:r>
      <w:r w:rsidRPr="00387F5D">
        <w:rPr>
          <w:rFonts w:ascii="Arial" w:hAnsi="Arial" w:cs="Arial"/>
          <w:sz w:val="24"/>
          <w:szCs w:val="24"/>
        </w:rPr>
        <w:t xml:space="preserve"> one programme but possibly not for another. In order to obtain more robust data for this area</w:t>
      </w:r>
      <w:r w:rsidR="003D6D52">
        <w:rPr>
          <w:rFonts w:ascii="Arial" w:hAnsi="Arial" w:cs="Arial"/>
          <w:sz w:val="24"/>
          <w:szCs w:val="24"/>
        </w:rPr>
        <w:t>,</w:t>
      </w:r>
      <w:r w:rsidRPr="00387F5D">
        <w:rPr>
          <w:rFonts w:ascii="Arial" w:hAnsi="Arial" w:cs="Arial"/>
          <w:sz w:val="24"/>
          <w:szCs w:val="24"/>
        </w:rPr>
        <w:t xml:space="preserve"> it is essential to develop a database for the IES staff to log learner’s disabilities and learning difficulties which would then link into QL for further analysis. This will then mean that the </w:t>
      </w:r>
      <w:r w:rsidR="003D6D52">
        <w:rPr>
          <w:rFonts w:ascii="Arial" w:hAnsi="Arial" w:cs="Arial"/>
          <w:sz w:val="24"/>
          <w:szCs w:val="24"/>
        </w:rPr>
        <w:t>C</w:t>
      </w:r>
      <w:r w:rsidRPr="00387F5D">
        <w:rPr>
          <w:rFonts w:ascii="Arial" w:hAnsi="Arial" w:cs="Arial"/>
          <w:sz w:val="24"/>
          <w:szCs w:val="24"/>
        </w:rPr>
        <w:t xml:space="preserve">ollege can target support to particular groups of learners and claim the correct funding. </w:t>
      </w:r>
    </w:p>
    <w:p w:rsidR="00387F5D" w:rsidRPr="00387F5D" w:rsidRDefault="00387F5D" w:rsidP="00387F5D">
      <w:pPr>
        <w:ind w:left="360"/>
        <w:rPr>
          <w:rFonts w:ascii="Arial" w:hAnsi="Arial" w:cs="Arial"/>
          <w:sz w:val="24"/>
          <w:szCs w:val="24"/>
        </w:rPr>
      </w:pPr>
    </w:p>
    <w:p w:rsidR="009C7C6A" w:rsidRDefault="009C7C6A" w:rsidP="00B653A6">
      <w:pPr>
        <w:ind w:left="360" w:hanging="360"/>
        <w:rPr>
          <w:rFonts w:ascii="Arial" w:hAnsi="Arial" w:cs="Arial"/>
          <w:b/>
          <w:sz w:val="24"/>
          <w:szCs w:val="24"/>
        </w:rPr>
      </w:pPr>
    </w:p>
    <w:p w:rsidR="009C7C6A" w:rsidRDefault="009C7C6A" w:rsidP="00B653A6">
      <w:pPr>
        <w:ind w:left="360" w:hanging="360"/>
        <w:rPr>
          <w:rFonts w:ascii="Arial" w:hAnsi="Arial" w:cs="Arial"/>
          <w:b/>
          <w:sz w:val="24"/>
          <w:szCs w:val="24"/>
        </w:rPr>
      </w:pPr>
    </w:p>
    <w:p w:rsidR="009C7C6A" w:rsidRDefault="009C7C6A" w:rsidP="00B653A6">
      <w:pPr>
        <w:ind w:left="360" w:hanging="360"/>
        <w:rPr>
          <w:rFonts w:ascii="Arial" w:hAnsi="Arial" w:cs="Arial"/>
          <w:b/>
          <w:sz w:val="24"/>
          <w:szCs w:val="24"/>
        </w:rPr>
      </w:pPr>
    </w:p>
    <w:p w:rsidR="009C7C6A" w:rsidRDefault="009C7C6A" w:rsidP="00B653A6">
      <w:pPr>
        <w:ind w:left="360" w:hanging="360"/>
        <w:rPr>
          <w:rFonts w:ascii="Arial" w:hAnsi="Arial" w:cs="Arial"/>
          <w:b/>
          <w:sz w:val="24"/>
          <w:szCs w:val="24"/>
        </w:rPr>
      </w:pPr>
    </w:p>
    <w:p w:rsidR="00387F5D" w:rsidRPr="00387F5D" w:rsidRDefault="00387F5D" w:rsidP="00B653A6">
      <w:pPr>
        <w:ind w:left="360" w:hanging="360"/>
        <w:rPr>
          <w:rFonts w:ascii="Arial" w:hAnsi="Arial" w:cs="Arial"/>
          <w:b/>
          <w:sz w:val="24"/>
          <w:szCs w:val="24"/>
        </w:rPr>
      </w:pPr>
      <w:r w:rsidRPr="00387F5D">
        <w:rPr>
          <w:rFonts w:ascii="Arial" w:hAnsi="Arial" w:cs="Arial"/>
          <w:b/>
          <w:sz w:val="24"/>
          <w:szCs w:val="24"/>
        </w:rPr>
        <w:t>Welsh Speakers</w:t>
      </w:r>
    </w:p>
    <w:p w:rsidR="00387F5D" w:rsidRDefault="00387F5D" w:rsidP="009C7C6A">
      <w:pPr>
        <w:numPr>
          <w:ilvl w:val="0"/>
          <w:numId w:val="14"/>
        </w:numPr>
        <w:tabs>
          <w:tab w:val="clear" w:pos="1080"/>
          <w:tab w:val="num" w:pos="709"/>
        </w:tabs>
        <w:spacing w:after="0" w:line="240" w:lineRule="auto"/>
        <w:ind w:left="709"/>
        <w:rPr>
          <w:rFonts w:ascii="Arial" w:hAnsi="Arial" w:cs="Arial"/>
          <w:sz w:val="24"/>
          <w:szCs w:val="24"/>
        </w:rPr>
      </w:pPr>
      <w:r w:rsidRPr="00387F5D">
        <w:rPr>
          <w:rFonts w:ascii="Arial" w:hAnsi="Arial" w:cs="Arial"/>
          <w:sz w:val="24"/>
          <w:szCs w:val="24"/>
        </w:rPr>
        <w:t>Data shows an increase in the numbers of enrolments from Welsh speakers from 10.6% in 2007-2008 to 13.6% in 2008-2009. This figure decreased to 12.7% in 2009-2010</w:t>
      </w:r>
    </w:p>
    <w:p w:rsidR="009C7C6A" w:rsidRPr="00387F5D" w:rsidRDefault="009C7C6A" w:rsidP="009C7C6A">
      <w:pPr>
        <w:spacing w:after="0" w:line="240" w:lineRule="auto"/>
        <w:ind w:left="1080"/>
        <w:rPr>
          <w:rFonts w:ascii="Arial" w:hAnsi="Arial" w:cs="Arial"/>
          <w:sz w:val="24"/>
          <w:szCs w:val="24"/>
        </w:rPr>
      </w:pPr>
    </w:p>
    <w:p w:rsidR="00387F5D" w:rsidRDefault="00387F5D" w:rsidP="009C7C6A">
      <w:pPr>
        <w:numPr>
          <w:ilvl w:val="0"/>
          <w:numId w:val="14"/>
        </w:numPr>
        <w:tabs>
          <w:tab w:val="clear" w:pos="1080"/>
          <w:tab w:val="num" w:pos="709"/>
        </w:tabs>
        <w:spacing w:after="0" w:line="240" w:lineRule="auto"/>
        <w:ind w:left="709"/>
        <w:rPr>
          <w:rFonts w:ascii="Arial" w:hAnsi="Arial" w:cs="Arial"/>
          <w:sz w:val="24"/>
          <w:szCs w:val="24"/>
        </w:rPr>
      </w:pPr>
      <w:r w:rsidRPr="00387F5D">
        <w:rPr>
          <w:rFonts w:ascii="Arial" w:hAnsi="Arial" w:cs="Arial"/>
          <w:sz w:val="24"/>
          <w:szCs w:val="24"/>
        </w:rPr>
        <w:t>Success figures show non</w:t>
      </w:r>
      <w:r w:rsidR="003D6D52">
        <w:rPr>
          <w:rFonts w:ascii="Arial" w:hAnsi="Arial" w:cs="Arial"/>
          <w:sz w:val="24"/>
          <w:szCs w:val="24"/>
        </w:rPr>
        <w:t>-</w:t>
      </w:r>
      <w:r w:rsidRPr="00387F5D">
        <w:rPr>
          <w:rFonts w:ascii="Arial" w:hAnsi="Arial" w:cs="Arial"/>
          <w:sz w:val="24"/>
          <w:szCs w:val="24"/>
        </w:rPr>
        <w:t>Welsh speakers performing better than Welsh speaker</w:t>
      </w:r>
      <w:r w:rsidR="00E21F9D">
        <w:rPr>
          <w:rFonts w:ascii="Arial" w:hAnsi="Arial" w:cs="Arial"/>
          <w:sz w:val="24"/>
          <w:szCs w:val="24"/>
        </w:rPr>
        <w:t>s</w:t>
      </w:r>
      <w:r w:rsidRPr="00387F5D">
        <w:rPr>
          <w:rFonts w:ascii="Arial" w:hAnsi="Arial" w:cs="Arial"/>
          <w:sz w:val="24"/>
          <w:szCs w:val="24"/>
        </w:rPr>
        <w:t xml:space="preserve"> in both 2007-2008 and 2008-2009. The following year saw male Welsh speakers achieving a similar success rate to male non</w:t>
      </w:r>
      <w:r w:rsidR="003D6D52">
        <w:rPr>
          <w:rFonts w:ascii="Arial" w:hAnsi="Arial" w:cs="Arial"/>
          <w:sz w:val="24"/>
          <w:szCs w:val="24"/>
        </w:rPr>
        <w:t>-</w:t>
      </w:r>
      <w:r w:rsidRPr="00387F5D">
        <w:rPr>
          <w:rFonts w:ascii="Arial" w:hAnsi="Arial" w:cs="Arial"/>
          <w:sz w:val="24"/>
          <w:szCs w:val="24"/>
        </w:rPr>
        <w:t>Welsh speakers</w:t>
      </w:r>
    </w:p>
    <w:p w:rsidR="009C7C6A" w:rsidRPr="00387F5D" w:rsidRDefault="009C7C6A" w:rsidP="009C7C6A">
      <w:pPr>
        <w:spacing w:after="0" w:line="240" w:lineRule="auto"/>
        <w:ind w:left="1080"/>
        <w:rPr>
          <w:rFonts w:ascii="Arial" w:hAnsi="Arial" w:cs="Arial"/>
          <w:sz w:val="24"/>
          <w:szCs w:val="24"/>
        </w:rPr>
      </w:pPr>
    </w:p>
    <w:p w:rsidR="00387F5D" w:rsidRPr="00387F5D" w:rsidRDefault="00387F5D" w:rsidP="009C7C6A">
      <w:pPr>
        <w:numPr>
          <w:ilvl w:val="0"/>
          <w:numId w:val="14"/>
        </w:numPr>
        <w:tabs>
          <w:tab w:val="clear" w:pos="1080"/>
          <w:tab w:val="num" w:pos="709"/>
        </w:tabs>
        <w:spacing w:after="0" w:line="240" w:lineRule="auto"/>
        <w:ind w:left="709"/>
        <w:rPr>
          <w:rFonts w:ascii="Arial" w:hAnsi="Arial" w:cs="Arial"/>
          <w:sz w:val="24"/>
          <w:szCs w:val="24"/>
        </w:rPr>
      </w:pPr>
      <w:r w:rsidRPr="00387F5D">
        <w:rPr>
          <w:rFonts w:ascii="Arial" w:hAnsi="Arial" w:cs="Arial"/>
          <w:sz w:val="24"/>
          <w:szCs w:val="24"/>
        </w:rPr>
        <w:t>In 2009-2010</w:t>
      </w:r>
      <w:r w:rsidR="003D6D52">
        <w:rPr>
          <w:rFonts w:ascii="Arial" w:hAnsi="Arial" w:cs="Arial"/>
          <w:sz w:val="24"/>
          <w:szCs w:val="24"/>
        </w:rPr>
        <w:t>,</w:t>
      </w:r>
      <w:r w:rsidRPr="00387F5D">
        <w:rPr>
          <w:rFonts w:ascii="Arial" w:hAnsi="Arial" w:cs="Arial"/>
          <w:sz w:val="24"/>
          <w:szCs w:val="24"/>
        </w:rPr>
        <w:t xml:space="preserve"> female Welsh speakers outperformed their non</w:t>
      </w:r>
      <w:r w:rsidR="003D6D52">
        <w:rPr>
          <w:rFonts w:ascii="Arial" w:hAnsi="Arial" w:cs="Arial"/>
          <w:sz w:val="24"/>
          <w:szCs w:val="24"/>
        </w:rPr>
        <w:t>-</w:t>
      </w:r>
      <w:r w:rsidRPr="00387F5D">
        <w:rPr>
          <w:rFonts w:ascii="Arial" w:hAnsi="Arial" w:cs="Arial"/>
          <w:sz w:val="24"/>
          <w:szCs w:val="24"/>
        </w:rPr>
        <w:t xml:space="preserve">Welsh speaking counterparts. </w:t>
      </w:r>
    </w:p>
    <w:p w:rsidR="00387F5D" w:rsidRPr="00387F5D" w:rsidRDefault="00387F5D" w:rsidP="00387F5D">
      <w:pPr>
        <w:rPr>
          <w:rFonts w:ascii="Arial" w:hAnsi="Arial" w:cs="Arial"/>
          <w:sz w:val="24"/>
          <w:szCs w:val="24"/>
        </w:rPr>
      </w:pPr>
    </w:p>
    <w:p w:rsidR="00387F5D" w:rsidRPr="00387F5D" w:rsidRDefault="00387F5D" w:rsidP="009C7C6A">
      <w:pPr>
        <w:rPr>
          <w:rFonts w:ascii="Arial" w:hAnsi="Arial" w:cs="Arial"/>
          <w:b/>
          <w:sz w:val="24"/>
          <w:szCs w:val="24"/>
        </w:rPr>
      </w:pPr>
      <w:r w:rsidRPr="00387F5D">
        <w:rPr>
          <w:rFonts w:ascii="Arial" w:hAnsi="Arial" w:cs="Arial"/>
          <w:b/>
          <w:sz w:val="24"/>
          <w:szCs w:val="24"/>
        </w:rPr>
        <w:t>Communities First</w:t>
      </w:r>
    </w:p>
    <w:p w:rsidR="00387F5D" w:rsidRDefault="00387F5D" w:rsidP="009C7C6A">
      <w:pPr>
        <w:numPr>
          <w:ilvl w:val="0"/>
          <w:numId w:val="7"/>
        </w:numPr>
        <w:tabs>
          <w:tab w:val="clear" w:pos="1080"/>
        </w:tabs>
        <w:spacing w:after="0" w:line="240" w:lineRule="auto"/>
        <w:ind w:left="709" w:hanging="283"/>
        <w:rPr>
          <w:rFonts w:ascii="Arial" w:hAnsi="Arial" w:cs="Arial"/>
          <w:sz w:val="24"/>
          <w:szCs w:val="24"/>
        </w:rPr>
      </w:pPr>
      <w:r w:rsidRPr="00387F5D">
        <w:rPr>
          <w:rFonts w:ascii="Arial" w:hAnsi="Arial" w:cs="Arial"/>
          <w:sz w:val="24"/>
          <w:szCs w:val="24"/>
        </w:rPr>
        <w:t xml:space="preserve">Approximately 33% of learners at the </w:t>
      </w:r>
      <w:r w:rsidR="003D6D52">
        <w:rPr>
          <w:rFonts w:ascii="Arial" w:hAnsi="Arial" w:cs="Arial"/>
          <w:sz w:val="24"/>
          <w:szCs w:val="24"/>
        </w:rPr>
        <w:t>C</w:t>
      </w:r>
      <w:r w:rsidRPr="00387F5D">
        <w:rPr>
          <w:rFonts w:ascii="Arial" w:hAnsi="Arial" w:cs="Arial"/>
          <w:sz w:val="24"/>
          <w:szCs w:val="24"/>
        </w:rPr>
        <w:t>ollege reside in Communities First areas</w:t>
      </w:r>
    </w:p>
    <w:p w:rsidR="009C7C6A" w:rsidRPr="00387F5D" w:rsidRDefault="009C7C6A" w:rsidP="009C7C6A">
      <w:pPr>
        <w:spacing w:after="0" w:line="240" w:lineRule="auto"/>
        <w:ind w:left="360"/>
        <w:rPr>
          <w:rFonts w:ascii="Arial" w:hAnsi="Arial" w:cs="Arial"/>
          <w:sz w:val="24"/>
          <w:szCs w:val="24"/>
        </w:rPr>
      </w:pPr>
    </w:p>
    <w:p w:rsidR="00387F5D" w:rsidRDefault="00387F5D" w:rsidP="009C7C6A">
      <w:pPr>
        <w:numPr>
          <w:ilvl w:val="0"/>
          <w:numId w:val="7"/>
        </w:numPr>
        <w:tabs>
          <w:tab w:val="clear" w:pos="1080"/>
        </w:tabs>
        <w:spacing w:after="0" w:line="240" w:lineRule="auto"/>
        <w:ind w:left="709" w:hanging="283"/>
        <w:rPr>
          <w:rFonts w:ascii="Arial" w:hAnsi="Arial" w:cs="Arial"/>
          <w:sz w:val="24"/>
          <w:szCs w:val="24"/>
        </w:rPr>
      </w:pPr>
      <w:r w:rsidRPr="00387F5D">
        <w:rPr>
          <w:rFonts w:ascii="Arial" w:hAnsi="Arial" w:cs="Arial"/>
          <w:sz w:val="24"/>
          <w:szCs w:val="24"/>
        </w:rPr>
        <w:t>The retention, attainment and success of learners from Communities First areas were compared to those from non</w:t>
      </w:r>
      <w:r w:rsidR="003D6D52">
        <w:rPr>
          <w:rFonts w:ascii="Arial" w:hAnsi="Arial" w:cs="Arial"/>
          <w:sz w:val="24"/>
          <w:szCs w:val="24"/>
        </w:rPr>
        <w:t>-</w:t>
      </w:r>
      <w:r w:rsidRPr="00387F5D">
        <w:rPr>
          <w:rFonts w:ascii="Arial" w:hAnsi="Arial" w:cs="Arial"/>
          <w:sz w:val="24"/>
          <w:szCs w:val="24"/>
        </w:rPr>
        <w:t>Communities First areas. Over the three years in question</w:t>
      </w:r>
      <w:r w:rsidR="003D6D52">
        <w:rPr>
          <w:rFonts w:ascii="Arial" w:hAnsi="Arial" w:cs="Arial"/>
          <w:sz w:val="24"/>
          <w:szCs w:val="24"/>
        </w:rPr>
        <w:t>,</w:t>
      </w:r>
      <w:r w:rsidRPr="00387F5D">
        <w:rPr>
          <w:rFonts w:ascii="Arial" w:hAnsi="Arial" w:cs="Arial"/>
          <w:sz w:val="24"/>
          <w:szCs w:val="24"/>
        </w:rPr>
        <w:t xml:space="preserve"> there appears no significant difference in these for the two groups</w:t>
      </w:r>
    </w:p>
    <w:p w:rsidR="009C7C6A" w:rsidRPr="00387F5D" w:rsidRDefault="009C7C6A" w:rsidP="009C7C6A">
      <w:pPr>
        <w:spacing w:after="0" w:line="240" w:lineRule="auto"/>
        <w:ind w:left="360"/>
        <w:rPr>
          <w:rFonts w:ascii="Arial" w:hAnsi="Arial" w:cs="Arial"/>
          <w:sz w:val="24"/>
          <w:szCs w:val="24"/>
        </w:rPr>
      </w:pPr>
    </w:p>
    <w:p w:rsidR="00387F5D" w:rsidRPr="00387F5D" w:rsidRDefault="00387F5D" w:rsidP="009C7C6A">
      <w:pPr>
        <w:numPr>
          <w:ilvl w:val="0"/>
          <w:numId w:val="7"/>
        </w:numPr>
        <w:tabs>
          <w:tab w:val="clear" w:pos="1080"/>
        </w:tabs>
        <w:spacing w:after="0" w:line="240" w:lineRule="auto"/>
        <w:ind w:left="426" w:firstLine="0"/>
        <w:rPr>
          <w:rFonts w:ascii="Arial" w:hAnsi="Arial" w:cs="Arial"/>
          <w:sz w:val="24"/>
          <w:szCs w:val="24"/>
        </w:rPr>
      </w:pPr>
      <w:r w:rsidRPr="00387F5D">
        <w:rPr>
          <w:rFonts w:ascii="Arial" w:hAnsi="Arial" w:cs="Arial"/>
          <w:sz w:val="24"/>
          <w:szCs w:val="24"/>
        </w:rPr>
        <w:t xml:space="preserve">The success trends per </w:t>
      </w:r>
      <w:r w:rsidR="003D6D52">
        <w:rPr>
          <w:rFonts w:ascii="Arial" w:hAnsi="Arial" w:cs="Arial"/>
          <w:sz w:val="24"/>
          <w:szCs w:val="24"/>
        </w:rPr>
        <w:t>S</w:t>
      </w:r>
      <w:r w:rsidRPr="00387F5D">
        <w:rPr>
          <w:rFonts w:ascii="Arial" w:hAnsi="Arial" w:cs="Arial"/>
          <w:sz w:val="24"/>
          <w:szCs w:val="24"/>
        </w:rPr>
        <w:t>chool for the two groups were also looked at. Some observations were:</w:t>
      </w:r>
    </w:p>
    <w:p w:rsidR="00387F5D" w:rsidRPr="00387F5D" w:rsidRDefault="00387F5D" w:rsidP="00ED3A31">
      <w:pPr>
        <w:spacing w:after="0" w:line="240" w:lineRule="auto"/>
        <w:ind w:left="1276"/>
        <w:rPr>
          <w:rFonts w:ascii="Arial" w:hAnsi="Arial" w:cs="Arial"/>
          <w:sz w:val="24"/>
          <w:szCs w:val="24"/>
        </w:rPr>
      </w:pPr>
      <w:r w:rsidRPr="00387F5D">
        <w:rPr>
          <w:rFonts w:ascii="Arial" w:hAnsi="Arial" w:cs="Arial"/>
          <w:sz w:val="24"/>
          <w:szCs w:val="24"/>
        </w:rPr>
        <w:t>CIT – apart from 2009-</w:t>
      </w:r>
      <w:r w:rsidR="003D6D52">
        <w:rPr>
          <w:rFonts w:ascii="Arial" w:hAnsi="Arial" w:cs="Arial"/>
          <w:sz w:val="24"/>
          <w:szCs w:val="24"/>
        </w:rPr>
        <w:t>20</w:t>
      </w:r>
      <w:r w:rsidRPr="00387F5D">
        <w:rPr>
          <w:rFonts w:ascii="Arial" w:hAnsi="Arial" w:cs="Arial"/>
          <w:sz w:val="24"/>
          <w:szCs w:val="24"/>
        </w:rPr>
        <w:t>10 learners from non</w:t>
      </w:r>
      <w:r w:rsidR="003D6D52">
        <w:rPr>
          <w:rFonts w:ascii="Arial" w:hAnsi="Arial" w:cs="Arial"/>
          <w:sz w:val="24"/>
          <w:szCs w:val="24"/>
        </w:rPr>
        <w:t>-</w:t>
      </w:r>
      <w:r w:rsidRPr="00387F5D">
        <w:rPr>
          <w:rFonts w:ascii="Arial" w:hAnsi="Arial" w:cs="Arial"/>
          <w:sz w:val="24"/>
          <w:szCs w:val="24"/>
        </w:rPr>
        <w:t>Communities First areas did better than those from Communities First areas</w:t>
      </w:r>
    </w:p>
    <w:p w:rsidR="00387F5D" w:rsidRPr="00387F5D" w:rsidRDefault="00387F5D" w:rsidP="00ED3A31">
      <w:pPr>
        <w:spacing w:after="0" w:line="240" w:lineRule="auto"/>
        <w:ind w:left="1276"/>
        <w:rPr>
          <w:rFonts w:ascii="Arial" w:hAnsi="Arial" w:cs="Arial"/>
          <w:sz w:val="24"/>
          <w:szCs w:val="24"/>
        </w:rPr>
      </w:pPr>
      <w:r w:rsidRPr="00387F5D">
        <w:rPr>
          <w:rFonts w:ascii="Arial" w:hAnsi="Arial" w:cs="Arial"/>
          <w:sz w:val="24"/>
          <w:szCs w:val="24"/>
        </w:rPr>
        <w:t>Fac6</w:t>
      </w:r>
      <w:r w:rsidR="003D6D52">
        <w:rPr>
          <w:rFonts w:ascii="Arial" w:hAnsi="Arial" w:cs="Arial"/>
          <w:sz w:val="24"/>
          <w:szCs w:val="24"/>
        </w:rPr>
        <w:t>Form</w:t>
      </w:r>
      <w:r w:rsidRPr="00387F5D">
        <w:rPr>
          <w:rFonts w:ascii="Arial" w:hAnsi="Arial" w:cs="Arial"/>
          <w:sz w:val="24"/>
          <w:szCs w:val="24"/>
        </w:rPr>
        <w:t xml:space="preserve"> 2009</w:t>
      </w:r>
      <w:r w:rsidR="003D6D52">
        <w:rPr>
          <w:rFonts w:ascii="Arial" w:hAnsi="Arial" w:cs="Arial"/>
          <w:sz w:val="24"/>
          <w:szCs w:val="24"/>
        </w:rPr>
        <w:t>-</w:t>
      </w:r>
      <w:r w:rsidRPr="00387F5D">
        <w:rPr>
          <w:rFonts w:ascii="Arial" w:hAnsi="Arial" w:cs="Arial"/>
          <w:sz w:val="24"/>
          <w:szCs w:val="24"/>
        </w:rPr>
        <w:t>2010 saw non</w:t>
      </w:r>
      <w:r w:rsidR="003D6D52">
        <w:rPr>
          <w:rFonts w:ascii="Arial" w:hAnsi="Arial" w:cs="Arial"/>
          <w:sz w:val="24"/>
          <w:szCs w:val="24"/>
        </w:rPr>
        <w:t>-</w:t>
      </w:r>
      <w:r w:rsidRPr="00387F5D">
        <w:rPr>
          <w:rFonts w:ascii="Arial" w:hAnsi="Arial" w:cs="Arial"/>
          <w:sz w:val="24"/>
          <w:szCs w:val="24"/>
        </w:rPr>
        <w:t xml:space="preserve">Communities First learners outperforming </w:t>
      </w:r>
      <w:r w:rsidR="003D6D52">
        <w:rPr>
          <w:rFonts w:ascii="Arial" w:hAnsi="Arial" w:cs="Arial"/>
          <w:sz w:val="24"/>
          <w:szCs w:val="24"/>
        </w:rPr>
        <w:t>C</w:t>
      </w:r>
      <w:r w:rsidR="00270EF2">
        <w:rPr>
          <w:rFonts w:ascii="Arial" w:hAnsi="Arial" w:cs="Arial"/>
          <w:sz w:val="24"/>
          <w:szCs w:val="24"/>
        </w:rPr>
        <w:t>ommunities</w:t>
      </w:r>
      <w:r w:rsidR="003D6D52">
        <w:rPr>
          <w:rFonts w:ascii="Arial" w:hAnsi="Arial" w:cs="Arial"/>
          <w:sz w:val="24"/>
          <w:szCs w:val="24"/>
        </w:rPr>
        <w:t xml:space="preserve"> F</w:t>
      </w:r>
      <w:r w:rsidRPr="00387F5D">
        <w:rPr>
          <w:rFonts w:ascii="Arial" w:hAnsi="Arial" w:cs="Arial"/>
          <w:sz w:val="24"/>
          <w:szCs w:val="24"/>
        </w:rPr>
        <w:t>irst learners</w:t>
      </w:r>
    </w:p>
    <w:p w:rsidR="00387F5D" w:rsidRPr="00387F5D" w:rsidRDefault="00387F5D" w:rsidP="00ED3A31">
      <w:pPr>
        <w:spacing w:after="0" w:line="240" w:lineRule="auto"/>
        <w:ind w:left="1276"/>
        <w:rPr>
          <w:rFonts w:ascii="Arial" w:hAnsi="Arial" w:cs="Arial"/>
          <w:sz w:val="24"/>
          <w:szCs w:val="24"/>
        </w:rPr>
      </w:pPr>
      <w:r w:rsidRPr="00387F5D">
        <w:rPr>
          <w:rFonts w:ascii="Arial" w:hAnsi="Arial" w:cs="Arial"/>
          <w:sz w:val="24"/>
          <w:szCs w:val="24"/>
        </w:rPr>
        <w:t>Generally</w:t>
      </w:r>
      <w:r w:rsidR="003D6D52">
        <w:rPr>
          <w:rFonts w:ascii="Arial" w:hAnsi="Arial" w:cs="Arial"/>
          <w:sz w:val="24"/>
          <w:szCs w:val="24"/>
        </w:rPr>
        <w:t>,</w:t>
      </w:r>
      <w:r w:rsidRPr="00387F5D">
        <w:rPr>
          <w:rFonts w:ascii="Arial" w:hAnsi="Arial" w:cs="Arial"/>
          <w:sz w:val="24"/>
          <w:szCs w:val="24"/>
        </w:rPr>
        <w:t xml:space="preserve"> learners from non</w:t>
      </w:r>
      <w:r w:rsidR="003D6D52">
        <w:rPr>
          <w:rFonts w:ascii="Arial" w:hAnsi="Arial" w:cs="Arial"/>
          <w:sz w:val="24"/>
          <w:szCs w:val="24"/>
        </w:rPr>
        <w:t>-</w:t>
      </w:r>
      <w:r w:rsidRPr="00387F5D">
        <w:rPr>
          <w:rFonts w:ascii="Arial" w:hAnsi="Arial" w:cs="Arial"/>
          <w:sz w:val="24"/>
          <w:szCs w:val="24"/>
        </w:rPr>
        <w:t>Communities First areas outperform those from Communities First areas in SPS. The same is observed in SSL</w:t>
      </w:r>
    </w:p>
    <w:p w:rsidR="00387F5D" w:rsidRPr="00387F5D" w:rsidRDefault="00387F5D" w:rsidP="00ED3A31">
      <w:pPr>
        <w:spacing w:after="0" w:line="240" w:lineRule="auto"/>
        <w:ind w:left="1276"/>
        <w:rPr>
          <w:rFonts w:ascii="Arial" w:hAnsi="Arial" w:cs="Arial"/>
          <w:sz w:val="24"/>
          <w:szCs w:val="24"/>
        </w:rPr>
      </w:pPr>
      <w:r w:rsidRPr="00387F5D">
        <w:rPr>
          <w:rFonts w:ascii="Arial" w:hAnsi="Arial" w:cs="Arial"/>
          <w:sz w:val="24"/>
          <w:szCs w:val="24"/>
        </w:rPr>
        <w:t>In HSC</w:t>
      </w:r>
      <w:r w:rsidR="003D6D52">
        <w:rPr>
          <w:rFonts w:ascii="Arial" w:hAnsi="Arial" w:cs="Arial"/>
          <w:sz w:val="24"/>
          <w:szCs w:val="24"/>
        </w:rPr>
        <w:t xml:space="preserve">, </w:t>
      </w:r>
      <w:r w:rsidRPr="00387F5D">
        <w:rPr>
          <w:rFonts w:ascii="Arial" w:hAnsi="Arial" w:cs="Arial"/>
          <w:sz w:val="24"/>
          <w:szCs w:val="24"/>
        </w:rPr>
        <w:t xml:space="preserve">learners from Communities First areas </w:t>
      </w:r>
      <w:r w:rsidR="003D6D52">
        <w:rPr>
          <w:rFonts w:ascii="Arial" w:hAnsi="Arial" w:cs="Arial"/>
          <w:sz w:val="24"/>
          <w:szCs w:val="24"/>
        </w:rPr>
        <w:t xml:space="preserve">did </w:t>
      </w:r>
      <w:r w:rsidRPr="00387F5D">
        <w:rPr>
          <w:rFonts w:ascii="Arial" w:hAnsi="Arial" w:cs="Arial"/>
          <w:sz w:val="24"/>
          <w:szCs w:val="24"/>
        </w:rPr>
        <w:t xml:space="preserve">slightly better than those outside these areas. </w:t>
      </w:r>
    </w:p>
    <w:p w:rsidR="00387F5D" w:rsidRPr="00387F5D" w:rsidRDefault="00387F5D" w:rsidP="00387F5D">
      <w:pPr>
        <w:rPr>
          <w:rFonts w:ascii="Arial" w:hAnsi="Arial" w:cs="Arial"/>
          <w:sz w:val="24"/>
          <w:szCs w:val="24"/>
        </w:rPr>
      </w:pPr>
    </w:p>
    <w:p w:rsidR="00387F5D" w:rsidRPr="00387F5D" w:rsidRDefault="00387F5D" w:rsidP="00387F5D">
      <w:pPr>
        <w:ind w:left="360"/>
        <w:rPr>
          <w:rFonts w:ascii="Arial" w:hAnsi="Arial" w:cs="Arial"/>
          <w:b/>
          <w:sz w:val="24"/>
          <w:szCs w:val="24"/>
        </w:rPr>
      </w:pPr>
      <w:r w:rsidRPr="00387F5D">
        <w:rPr>
          <w:rFonts w:ascii="Arial" w:hAnsi="Arial" w:cs="Arial"/>
          <w:b/>
          <w:sz w:val="24"/>
          <w:szCs w:val="24"/>
        </w:rPr>
        <w:t xml:space="preserve">Learners from the </w:t>
      </w:r>
      <w:r w:rsidR="003D6D52">
        <w:rPr>
          <w:rFonts w:ascii="Arial" w:hAnsi="Arial" w:cs="Arial"/>
          <w:b/>
          <w:sz w:val="24"/>
          <w:szCs w:val="24"/>
        </w:rPr>
        <w:t>T</w:t>
      </w:r>
      <w:r w:rsidRPr="00387F5D">
        <w:rPr>
          <w:rFonts w:ascii="Arial" w:hAnsi="Arial" w:cs="Arial"/>
          <w:b/>
          <w:sz w:val="24"/>
          <w:szCs w:val="24"/>
        </w:rPr>
        <w:t xml:space="preserve">ravelling </w:t>
      </w:r>
      <w:r w:rsidR="003D6D52">
        <w:rPr>
          <w:rFonts w:ascii="Arial" w:hAnsi="Arial" w:cs="Arial"/>
          <w:b/>
          <w:sz w:val="24"/>
          <w:szCs w:val="24"/>
        </w:rPr>
        <w:t>C</w:t>
      </w:r>
      <w:r w:rsidRPr="00387F5D">
        <w:rPr>
          <w:rFonts w:ascii="Arial" w:hAnsi="Arial" w:cs="Arial"/>
          <w:b/>
          <w:sz w:val="24"/>
          <w:szCs w:val="24"/>
        </w:rPr>
        <w:t>ommunity</w:t>
      </w:r>
    </w:p>
    <w:p w:rsidR="00387F5D" w:rsidRDefault="00387F5D" w:rsidP="009C7C6A">
      <w:pPr>
        <w:numPr>
          <w:ilvl w:val="0"/>
          <w:numId w:val="8"/>
        </w:numPr>
        <w:tabs>
          <w:tab w:val="clear" w:pos="1440"/>
        </w:tabs>
        <w:spacing w:after="0" w:line="240" w:lineRule="auto"/>
        <w:ind w:left="709" w:hanging="283"/>
        <w:rPr>
          <w:rFonts w:ascii="Arial" w:hAnsi="Arial" w:cs="Arial"/>
          <w:sz w:val="24"/>
          <w:szCs w:val="24"/>
        </w:rPr>
      </w:pPr>
      <w:r w:rsidRPr="00387F5D">
        <w:rPr>
          <w:rFonts w:ascii="Arial" w:hAnsi="Arial" w:cs="Arial"/>
          <w:sz w:val="24"/>
          <w:szCs w:val="24"/>
        </w:rPr>
        <w:t xml:space="preserve">It was very difficult to obtain data for this group. The names of nine learners were provided. It was </w:t>
      </w:r>
      <w:r w:rsidR="003D6D52">
        <w:rPr>
          <w:rFonts w:ascii="Arial" w:hAnsi="Arial" w:cs="Arial"/>
          <w:sz w:val="24"/>
          <w:szCs w:val="24"/>
        </w:rPr>
        <w:t>reported</w:t>
      </w:r>
      <w:r w:rsidRPr="00387F5D">
        <w:rPr>
          <w:rFonts w:ascii="Arial" w:hAnsi="Arial" w:cs="Arial"/>
          <w:sz w:val="24"/>
          <w:szCs w:val="24"/>
        </w:rPr>
        <w:t xml:space="preserve"> that the learners attend</w:t>
      </w:r>
      <w:r w:rsidR="003D6D52">
        <w:rPr>
          <w:rFonts w:ascii="Arial" w:hAnsi="Arial" w:cs="Arial"/>
          <w:sz w:val="24"/>
          <w:szCs w:val="24"/>
        </w:rPr>
        <w:t>ed</w:t>
      </w:r>
      <w:r w:rsidRPr="00387F5D">
        <w:rPr>
          <w:rFonts w:ascii="Arial" w:hAnsi="Arial" w:cs="Arial"/>
          <w:sz w:val="24"/>
          <w:szCs w:val="24"/>
        </w:rPr>
        <w:t xml:space="preserve"> sporadically and under</w:t>
      </w:r>
      <w:r w:rsidR="003D6D52">
        <w:rPr>
          <w:rFonts w:ascii="Arial" w:hAnsi="Arial" w:cs="Arial"/>
          <w:sz w:val="24"/>
          <w:szCs w:val="24"/>
        </w:rPr>
        <w:t>went</w:t>
      </w:r>
      <w:r w:rsidRPr="00387F5D">
        <w:rPr>
          <w:rFonts w:ascii="Arial" w:hAnsi="Arial" w:cs="Arial"/>
          <w:sz w:val="24"/>
          <w:szCs w:val="24"/>
        </w:rPr>
        <w:t xml:space="preserve"> taster sessions </w:t>
      </w:r>
      <w:r w:rsidR="003D6D52">
        <w:rPr>
          <w:rFonts w:ascii="Arial" w:hAnsi="Arial" w:cs="Arial"/>
          <w:sz w:val="24"/>
          <w:szCs w:val="24"/>
        </w:rPr>
        <w:t>but did</w:t>
      </w:r>
      <w:r w:rsidRPr="00387F5D">
        <w:rPr>
          <w:rFonts w:ascii="Arial" w:hAnsi="Arial" w:cs="Arial"/>
          <w:sz w:val="24"/>
          <w:szCs w:val="24"/>
        </w:rPr>
        <w:t xml:space="preserve"> not complete any qualifications</w:t>
      </w:r>
    </w:p>
    <w:p w:rsidR="009C7C6A" w:rsidRPr="00387F5D" w:rsidRDefault="009C7C6A" w:rsidP="009C7C6A">
      <w:pPr>
        <w:spacing w:after="0" w:line="240" w:lineRule="auto"/>
        <w:ind w:left="360"/>
        <w:rPr>
          <w:rFonts w:ascii="Arial" w:hAnsi="Arial" w:cs="Arial"/>
          <w:sz w:val="24"/>
          <w:szCs w:val="24"/>
        </w:rPr>
      </w:pPr>
    </w:p>
    <w:p w:rsidR="00387F5D" w:rsidRDefault="00387F5D" w:rsidP="00E81136">
      <w:pPr>
        <w:numPr>
          <w:ilvl w:val="0"/>
          <w:numId w:val="8"/>
        </w:numPr>
        <w:tabs>
          <w:tab w:val="clear" w:pos="1440"/>
          <w:tab w:val="num" w:pos="709"/>
        </w:tabs>
        <w:spacing w:after="0" w:line="240" w:lineRule="auto"/>
        <w:ind w:left="709" w:hanging="283"/>
        <w:rPr>
          <w:rFonts w:ascii="Arial" w:hAnsi="Arial" w:cs="Arial"/>
          <w:sz w:val="24"/>
          <w:szCs w:val="24"/>
        </w:rPr>
      </w:pPr>
      <w:r w:rsidRPr="00387F5D">
        <w:rPr>
          <w:rFonts w:ascii="Arial" w:hAnsi="Arial" w:cs="Arial"/>
          <w:sz w:val="24"/>
          <w:szCs w:val="24"/>
        </w:rPr>
        <w:t xml:space="preserve">MIS confirmed that four of these learners were enrolled in </w:t>
      </w:r>
      <w:r w:rsidR="003D6D52">
        <w:rPr>
          <w:rFonts w:ascii="Arial" w:hAnsi="Arial" w:cs="Arial"/>
          <w:sz w:val="24"/>
          <w:szCs w:val="24"/>
        </w:rPr>
        <w:t>20</w:t>
      </w:r>
      <w:r w:rsidRPr="00387F5D">
        <w:rPr>
          <w:rFonts w:ascii="Arial" w:hAnsi="Arial" w:cs="Arial"/>
          <w:sz w:val="24"/>
          <w:szCs w:val="24"/>
        </w:rPr>
        <w:t>09</w:t>
      </w:r>
      <w:r w:rsidR="003D6D52">
        <w:rPr>
          <w:rFonts w:ascii="Arial" w:hAnsi="Arial" w:cs="Arial"/>
          <w:sz w:val="24"/>
          <w:szCs w:val="24"/>
        </w:rPr>
        <w:t>-2010</w:t>
      </w:r>
      <w:r w:rsidRPr="00387F5D">
        <w:rPr>
          <w:rFonts w:ascii="Arial" w:hAnsi="Arial" w:cs="Arial"/>
          <w:sz w:val="24"/>
          <w:szCs w:val="24"/>
        </w:rPr>
        <w:t xml:space="preserve"> but there were no awards against their enrolments</w:t>
      </w:r>
    </w:p>
    <w:p w:rsidR="00E81136" w:rsidRPr="00387F5D" w:rsidRDefault="00E81136" w:rsidP="00E81136">
      <w:pPr>
        <w:spacing w:after="0" w:line="240" w:lineRule="auto"/>
        <w:ind w:left="709"/>
        <w:rPr>
          <w:rFonts w:ascii="Arial" w:hAnsi="Arial" w:cs="Arial"/>
          <w:sz w:val="24"/>
          <w:szCs w:val="24"/>
        </w:rPr>
      </w:pPr>
    </w:p>
    <w:p w:rsidR="00387F5D" w:rsidRDefault="00387F5D" w:rsidP="00E81136">
      <w:pPr>
        <w:numPr>
          <w:ilvl w:val="0"/>
          <w:numId w:val="8"/>
        </w:numPr>
        <w:tabs>
          <w:tab w:val="clear" w:pos="1440"/>
          <w:tab w:val="num" w:pos="709"/>
        </w:tabs>
        <w:spacing w:after="0" w:line="240" w:lineRule="auto"/>
        <w:ind w:left="709" w:hanging="283"/>
        <w:rPr>
          <w:rFonts w:ascii="Arial" w:hAnsi="Arial" w:cs="Arial"/>
          <w:sz w:val="24"/>
          <w:szCs w:val="24"/>
        </w:rPr>
      </w:pPr>
      <w:r w:rsidRPr="00387F5D">
        <w:rPr>
          <w:rFonts w:ascii="Arial" w:hAnsi="Arial" w:cs="Arial"/>
          <w:sz w:val="24"/>
          <w:szCs w:val="24"/>
        </w:rPr>
        <w:t>The remaining five were difficult to find on the system</w:t>
      </w:r>
      <w:r w:rsidR="003D6D52">
        <w:rPr>
          <w:rFonts w:ascii="Arial" w:hAnsi="Arial" w:cs="Arial"/>
          <w:sz w:val="24"/>
          <w:szCs w:val="24"/>
        </w:rPr>
        <w:t>;</w:t>
      </w:r>
      <w:r w:rsidRPr="00387F5D">
        <w:rPr>
          <w:rFonts w:ascii="Arial" w:hAnsi="Arial" w:cs="Arial"/>
          <w:sz w:val="24"/>
          <w:szCs w:val="24"/>
        </w:rPr>
        <w:t xml:space="preserve"> possibly due to names given or spelling of names</w:t>
      </w:r>
    </w:p>
    <w:p w:rsidR="00E81136" w:rsidRPr="00387F5D" w:rsidRDefault="00E81136" w:rsidP="00E81136">
      <w:pPr>
        <w:spacing w:after="0" w:line="240" w:lineRule="auto"/>
        <w:ind w:left="709"/>
        <w:rPr>
          <w:rFonts w:ascii="Arial" w:hAnsi="Arial" w:cs="Arial"/>
          <w:sz w:val="24"/>
          <w:szCs w:val="24"/>
        </w:rPr>
      </w:pPr>
    </w:p>
    <w:p w:rsidR="00387F5D" w:rsidRDefault="00387F5D" w:rsidP="00E81136">
      <w:pPr>
        <w:numPr>
          <w:ilvl w:val="0"/>
          <w:numId w:val="8"/>
        </w:numPr>
        <w:tabs>
          <w:tab w:val="clear" w:pos="1440"/>
        </w:tabs>
        <w:spacing w:after="0" w:line="240" w:lineRule="auto"/>
        <w:ind w:left="709" w:hanging="283"/>
        <w:rPr>
          <w:rFonts w:ascii="Arial" w:hAnsi="Arial" w:cs="Arial"/>
          <w:sz w:val="24"/>
          <w:szCs w:val="24"/>
        </w:rPr>
      </w:pPr>
      <w:r w:rsidRPr="00387F5D">
        <w:rPr>
          <w:rFonts w:ascii="Arial" w:hAnsi="Arial" w:cs="Arial"/>
          <w:sz w:val="24"/>
          <w:szCs w:val="24"/>
        </w:rPr>
        <w:t xml:space="preserve">It is also possible that these learners were enrolled for programmes which were not </w:t>
      </w:r>
      <w:proofErr w:type="spellStart"/>
      <w:r w:rsidRPr="00387F5D">
        <w:rPr>
          <w:rFonts w:ascii="Arial" w:hAnsi="Arial" w:cs="Arial"/>
          <w:sz w:val="24"/>
          <w:szCs w:val="24"/>
        </w:rPr>
        <w:t>DfES</w:t>
      </w:r>
      <w:proofErr w:type="spellEnd"/>
      <w:r w:rsidR="003D6D52">
        <w:rPr>
          <w:rFonts w:ascii="Arial" w:hAnsi="Arial" w:cs="Arial"/>
          <w:sz w:val="24"/>
          <w:szCs w:val="24"/>
        </w:rPr>
        <w:t>-</w:t>
      </w:r>
      <w:r w:rsidRPr="00387F5D">
        <w:rPr>
          <w:rFonts w:ascii="Arial" w:hAnsi="Arial" w:cs="Arial"/>
          <w:sz w:val="24"/>
          <w:szCs w:val="24"/>
        </w:rPr>
        <w:t>funded and therefore did not show up on the benchmarking data</w:t>
      </w:r>
    </w:p>
    <w:p w:rsidR="00E81136" w:rsidRPr="00387F5D" w:rsidRDefault="00E81136" w:rsidP="00E81136">
      <w:pPr>
        <w:spacing w:after="0" w:line="240" w:lineRule="auto"/>
        <w:ind w:left="709"/>
        <w:rPr>
          <w:rFonts w:ascii="Arial" w:hAnsi="Arial" w:cs="Arial"/>
          <w:sz w:val="24"/>
          <w:szCs w:val="24"/>
        </w:rPr>
      </w:pPr>
    </w:p>
    <w:p w:rsidR="00387F5D" w:rsidRPr="00387F5D" w:rsidRDefault="00387F5D" w:rsidP="00E81136">
      <w:pPr>
        <w:numPr>
          <w:ilvl w:val="0"/>
          <w:numId w:val="8"/>
        </w:numPr>
        <w:tabs>
          <w:tab w:val="clear" w:pos="1440"/>
          <w:tab w:val="num" w:pos="709"/>
        </w:tabs>
        <w:spacing w:after="0" w:line="240" w:lineRule="auto"/>
        <w:ind w:left="709" w:hanging="283"/>
        <w:rPr>
          <w:rFonts w:ascii="Arial" w:hAnsi="Arial" w:cs="Arial"/>
          <w:sz w:val="24"/>
          <w:szCs w:val="24"/>
        </w:rPr>
      </w:pPr>
      <w:r w:rsidRPr="00387F5D">
        <w:rPr>
          <w:rFonts w:ascii="Arial" w:hAnsi="Arial" w:cs="Arial"/>
          <w:sz w:val="24"/>
          <w:szCs w:val="24"/>
        </w:rPr>
        <w:t xml:space="preserve">A more robust mechanism for collecting information on this group of learners is needed. </w:t>
      </w:r>
    </w:p>
    <w:p w:rsidR="00387F5D" w:rsidRPr="00387F5D" w:rsidRDefault="00387F5D" w:rsidP="00387F5D">
      <w:pPr>
        <w:rPr>
          <w:rFonts w:ascii="Arial" w:hAnsi="Arial" w:cs="Arial"/>
          <w:sz w:val="24"/>
          <w:szCs w:val="24"/>
        </w:rPr>
      </w:pPr>
    </w:p>
    <w:p w:rsidR="00387F5D" w:rsidRPr="00387F5D" w:rsidRDefault="00387F5D" w:rsidP="00E81136">
      <w:pPr>
        <w:rPr>
          <w:rFonts w:ascii="Arial" w:hAnsi="Arial" w:cs="Arial"/>
          <w:sz w:val="24"/>
          <w:szCs w:val="24"/>
        </w:rPr>
      </w:pPr>
      <w:r w:rsidRPr="00387F5D">
        <w:rPr>
          <w:rFonts w:ascii="Arial" w:hAnsi="Arial" w:cs="Arial"/>
          <w:sz w:val="24"/>
          <w:szCs w:val="24"/>
        </w:rPr>
        <w:t>For the final two groups (Learners with Criminal Convictions and Learners in receipt of free meals) there have been problems obtaining “confident data” from MIS. Learner Services records prior to 2009-</w:t>
      </w:r>
      <w:r w:rsidR="003D6D52">
        <w:rPr>
          <w:rFonts w:ascii="Arial" w:hAnsi="Arial" w:cs="Arial"/>
          <w:sz w:val="24"/>
          <w:szCs w:val="24"/>
        </w:rPr>
        <w:t>20</w:t>
      </w:r>
      <w:r w:rsidRPr="00387F5D">
        <w:rPr>
          <w:rFonts w:ascii="Arial" w:hAnsi="Arial" w:cs="Arial"/>
          <w:sz w:val="24"/>
          <w:szCs w:val="24"/>
        </w:rPr>
        <w:t>10 were paper</w:t>
      </w:r>
      <w:r w:rsidR="003D6D52">
        <w:rPr>
          <w:rFonts w:ascii="Arial" w:hAnsi="Arial" w:cs="Arial"/>
          <w:sz w:val="24"/>
          <w:szCs w:val="24"/>
        </w:rPr>
        <w:t>-</w:t>
      </w:r>
      <w:r w:rsidRPr="00387F5D">
        <w:rPr>
          <w:rFonts w:ascii="Arial" w:hAnsi="Arial" w:cs="Arial"/>
          <w:sz w:val="24"/>
          <w:szCs w:val="24"/>
        </w:rPr>
        <w:t>based and the information is “in doubt”.  For the two remaining groups of learners</w:t>
      </w:r>
      <w:r w:rsidR="003D6D52">
        <w:rPr>
          <w:rFonts w:ascii="Arial" w:hAnsi="Arial" w:cs="Arial"/>
          <w:sz w:val="24"/>
          <w:szCs w:val="24"/>
        </w:rPr>
        <w:t>,</w:t>
      </w:r>
      <w:r w:rsidRPr="00387F5D">
        <w:rPr>
          <w:rFonts w:ascii="Arial" w:hAnsi="Arial" w:cs="Arial"/>
          <w:sz w:val="24"/>
          <w:szCs w:val="24"/>
        </w:rPr>
        <w:t xml:space="preserve"> it is therefore only possible to analyse data for 2009-2010. The data for the previous groups was retrieved at the same time and therefore have the same number of enrolments. The remaining groups of learners with criminal convictions and learners in receipt of free meals were collected later. In the meantime</w:t>
      </w:r>
      <w:r w:rsidR="003D6D52">
        <w:rPr>
          <w:rFonts w:ascii="Arial" w:hAnsi="Arial" w:cs="Arial"/>
          <w:sz w:val="24"/>
          <w:szCs w:val="24"/>
        </w:rPr>
        <w:t>,</w:t>
      </w:r>
      <w:r w:rsidRPr="00387F5D">
        <w:rPr>
          <w:rFonts w:ascii="Arial" w:hAnsi="Arial" w:cs="Arial"/>
          <w:sz w:val="24"/>
          <w:szCs w:val="24"/>
        </w:rPr>
        <w:t xml:space="preserve"> MIS have been cleaning up the data and there has been a change in the total number of enrolments in 2009-2010. </w:t>
      </w:r>
    </w:p>
    <w:p w:rsidR="00387F5D" w:rsidRPr="00387F5D" w:rsidRDefault="00387F5D" w:rsidP="00E81136">
      <w:pPr>
        <w:rPr>
          <w:rFonts w:ascii="Arial" w:hAnsi="Arial" w:cs="Arial"/>
          <w:sz w:val="24"/>
          <w:szCs w:val="24"/>
        </w:rPr>
      </w:pPr>
      <w:r w:rsidRPr="00387F5D">
        <w:rPr>
          <w:rFonts w:ascii="Arial" w:hAnsi="Arial" w:cs="Arial"/>
          <w:sz w:val="24"/>
          <w:szCs w:val="24"/>
        </w:rPr>
        <w:t xml:space="preserve">If the project is </w:t>
      </w:r>
      <w:r w:rsidR="00867A31">
        <w:rPr>
          <w:rFonts w:ascii="Arial" w:hAnsi="Arial" w:cs="Arial"/>
          <w:sz w:val="24"/>
          <w:szCs w:val="24"/>
        </w:rPr>
        <w:t xml:space="preserve">to </w:t>
      </w:r>
      <w:r w:rsidRPr="00387F5D">
        <w:rPr>
          <w:rFonts w:ascii="Arial" w:hAnsi="Arial" w:cs="Arial"/>
          <w:sz w:val="24"/>
          <w:szCs w:val="24"/>
        </w:rPr>
        <w:t>continue to run in future years</w:t>
      </w:r>
      <w:r w:rsidR="003D6D52">
        <w:rPr>
          <w:rFonts w:ascii="Arial" w:hAnsi="Arial" w:cs="Arial"/>
          <w:sz w:val="24"/>
          <w:szCs w:val="24"/>
        </w:rPr>
        <w:t>,</w:t>
      </w:r>
      <w:r w:rsidRPr="00387F5D">
        <w:rPr>
          <w:rFonts w:ascii="Arial" w:hAnsi="Arial" w:cs="Arial"/>
          <w:sz w:val="24"/>
          <w:szCs w:val="24"/>
        </w:rPr>
        <w:t xml:space="preserve"> it is vital that the data is frozen at the same time in order to provide an accurate comparison</w:t>
      </w:r>
      <w:r w:rsidR="003D6D52">
        <w:rPr>
          <w:rFonts w:ascii="Arial" w:hAnsi="Arial" w:cs="Arial"/>
          <w:sz w:val="24"/>
          <w:szCs w:val="24"/>
        </w:rPr>
        <w:t>.</w:t>
      </w:r>
    </w:p>
    <w:p w:rsidR="00387F5D" w:rsidRPr="00387F5D" w:rsidRDefault="00387F5D" w:rsidP="00E81136">
      <w:pPr>
        <w:rPr>
          <w:rFonts w:ascii="Arial" w:hAnsi="Arial" w:cs="Arial"/>
          <w:sz w:val="24"/>
          <w:szCs w:val="24"/>
        </w:rPr>
      </w:pPr>
      <w:r w:rsidRPr="00387F5D">
        <w:rPr>
          <w:rFonts w:ascii="Arial" w:hAnsi="Arial" w:cs="Arial"/>
          <w:sz w:val="24"/>
          <w:szCs w:val="24"/>
        </w:rPr>
        <w:t>In addition</w:t>
      </w:r>
      <w:r w:rsidR="003D6D52">
        <w:rPr>
          <w:rFonts w:ascii="Arial" w:hAnsi="Arial" w:cs="Arial"/>
          <w:sz w:val="24"/>
          <w:szCs w:val="24"/>
        </w:rPr>
        <w:t>,</w:t>
      </w:r>
      <w:r w:rsidRPr="00387F5D">
        <w:rPr>
          <w:rFonts w:ascii="Arial" w:hAnsi="Arial" w:cs="Arial"/>
          <w:sz w:val="24"/>
          <w:szCs w:val="24"/>
        </w:rPr>
        <w:t xml:space="preserve"> when the data on criminal convictions and learners on free meals was queried</w:t>
      </w:r>
      <w:r w:rsidR="003D6D52">
        <w:rPr>
          <w:rFonts w:ascii="Arial" w:hAnsi="Arial" w:cs="Arial"/>
          <w:sz w:val="24"/>
          <w:szCs w:val="24"/>
        </w:rPr>
        <w:t>,</w:t>
      </w:r>
      <w:r w:rsidRPr="00387F5D">
        <w:rPr>
          <w:rFonts w:ascii="Arial" w:hAnsi="Arial" w:cs="Arial"/>
          <w:sz w:val="24"/>
          <w:szCs w:val="24"/>
        </w:rPr>
        <w:t xml:space="preserve"> another data set was received with different data. It is difficult to have confidence on the data </w:t>
      </w:r>
      <w:r>
        <w:rPr>
          <w:rFonts w:ascii="Arial" w:hAnsi="Arial" w:cs="Arial"/>
          <w:sz w:val="24"/>
          <w:szCs w:val="24"/>
        </w:rPr>
        <w:t>currently being used.</w:t>
      </w:r>
    </w:p>
    <w:p w:rsidR="00387F5D" w:rsidRPr="00387F5D" w:rsidRDefault="00387F5D" w:rsidP="00387F5D">
      <w:pPr>
        <w:rPr>
          <w:rFonts w:ascii="Arial" w:hAnsi="Arial" w:cs="Arial"/>
          <w:sz w:val="24"/>
          <w:szCs w:val="24"/>
        </w:rPr>
      </w:pPr>
    </w:p>
    <w:p w:rsidR="00387F5D" w:rsidRPr="00387F5D" w:rsidRDefault="00387F5D" w:rsidP="00E81136">
      <w:pPr>
        <w:rPr>
          <w:rFonts w:ascii="Arial" w:hAnsi="Arial" w:cs="Arial"/>
          <w:b/>
          <w:sz w:val="24"/>
          <w:szCs w:val="24"/>
        </w:rPr>
      </w:pPr>
      <w:r w:rsidRPr="00387F5D">
        <w:rPr>
          <w:rFonts w:ascii="Arial" w:hAnsi="Arial" w:cs="Arial"/>
          <w:b/>
          <w:sz w:val="24"/>
          <w:szCs w:val="24"/>
        </w:rPr>
        <w:t xml:space="preserve">Learners in </w:t>
      </w:r>
      <w:r w:rsidR="003D6D52">
        <w:rPr>
          <w:rFonts w:ascii="Arial" w:hAnsi="Arial" w:cs="Arial"/>
          <w:b/>
          <w:sz w:val="24"/>
          <w:szCs w:val="24"/>
        </w:rPr>
        <w:t>R</w:t>
      </w:r>
      <w:r w:rsidRPr="00387F5D">
        <w:rPr>
          <w:rFonts w:ascii="Arial" w:hAnsi="Arial" w:cs="Arial"/>
          <w:b/>
          <w:sz w:val="24"/>
          <w:szCs w:val="24"/>
        </w:rPr>
        <w:t xml:space="preserve">eceipt of </w:t>
      </w:r>
      <w:r w:rsidR="003D6D52">
        <w:rPr>
          <w:rFonts w:ascii="Arial" w:hAnsi="Arial" w:cs="Arial"/>
          <w:b/>
          <w:sz w:val="24"/>
          <w:szCs w:val="24"/>
        </w:rPr>
        <w:t>F</w:t>
      </w:r>
      <w:r w:rsidRPr="00387F5D">
        <w:rPr>
          <w:rFonts w:ascii="Arial" w:hAnsi="Arial" w:cs="Arial"/>
          <w:b/>
          <w:sz w:val="24"/>
          <w:szCs w:val="24"/>
        </w:rPr>
        <w:t xml:space="preserve">ree </w:t>
      </w:r>
      <w:r w:rsidR="003D6D52">
        <w:rPr>
          <w:rFonts w:ascii="Arial" w:hAnsi="Arial" w:cs="Arial"/>
          <w:b/>
          <w:sz w:val="24"/>
          <w:szCs w:val="24"/>
        </w:rPr>
        <w:t>M</w:t>
      </w:r>
      <w:r w:rsidRPr="00387F5D">
        <w:rPr>
          <w:rFonts w:ascii="Arial" w:hAnsi="Arial" w:cs="Arial"/>
          <w:b/>
          <w:sz w:val="24"/>
          <w:szCs w:val="24"/>
        </w:rPr>
        <w:t>eals</w:t>
      </w:r>
    </w:p>
    <w:p w:rsidR="00387F5D" w:rsidRPr="00387F5D" w:rsidRDefault="00387F5D" w:rsidP="00E81136">
      <w:pPr>
        <w:rPr>
          <w:rFonts w:ascii="Arial" w:hAnsi="Arial" w:cs="Arial"/>
          <w:sz w:val="24"/>
          <w:szCs w:val="24"/>
        </w:rPr>
      </w:pPr>
      <w:r w:rsidRPr="00387F5D">
        <w:rPr>
          <w:rFonts w:ascii="Arial" w:hAnsi="Arial" w:cs="Arial"/>
          <w:sz w:val="24"/>
          <w:szCs w:val="24"/>
        </w:rPr>
        <w:t xml:space="preserve">As explained previously the only data available is 2009-2010. </w:t>
      </w:r>
    </w:p>
    <w:p w:rsidR="00387F5D" w:rsidRDefault="00387F5D" w:rsidP="00E81136">
      <w:pPr>
        <w:numPr>
          <w:ilvl w:val="0"/>
          <w:numId w:val="11"/>
        </w:numPr>
        <w:tabs>
          <w:tab w:val="clear" w:pos="1080"/>
          <w:tab w:val="num" w:pos="709"/>
        </w:tabs>
        <w:spacing w:after="0" w:line="240" w:lineRule="auto"/>
        <w:ind w:left="709"/>
        <w:rPr>
          <w:rFonts w:ascii="Arial" w:hAnsi="Arial" w:cs="Arial"/>
          <w:sz w:val="24"/>
          <w:szCs w:val="24"/>
        </w:rPr>
      </w:pPr>
      <w:r w:rsidRPr="00387F5D">
        <w:rPr>
          <w:rFonts w:ascii="Arial" w:hAnsi="Arial" w:cs="Arial"/>
          <w:sz w:val="24"/>
          <w:szCs w:val="24"/>
        </w:rPr>
        <w:t>It can be seen that 7.8% of male enrolments were attributed to learners in receipt of free males</w:t>
      </w:r>
    </w:p>
    <w:p w:rsidR="00E81136" w:rsidRPr="00387F5D" w:rsidRDefault="00E81136" w:rsidP="00E81136">
      <w:pPr>
        <w:tabs>
          <w:tab w:val="num" w:pos="709"/>
        </w:tabs>
        <w:spacing w:after="0" w:line="240" w:lineRule="auto"/>
        <w:ind w:left="709"/>
        <w:rPr>
          <w:rFonts w:ascii="Arial" w:hAnsi="Arial" w:cs="Arial"/>
          <w:sz w:val="24"/>
          <w:szCs w:val="24"/>
        </w:rPr>
      </w:pPr>
    </w:p>
    <w:p w:rsidR="00387F5D" w:rsidRDefault="00387F5D" w:rsidP="00E81136">
      <w:pPr>
        <w:numPr>
          <w:ilvl w:val="0"/>
          <w:numId w:val="11"/>
        </w:numPr>
        <w:tabs>
          <w:tab w:val="clear" w:pos="1080"/>
          <w:tab w:val="num" w:pos="709"/>
        </w:tabs>
        <w:spacing w:after="0" w:line="240" w:lineRule="auto"/>
        <w:ind w:left="709"/>
        <w:rPr>
          <w:rFonts w:ascii="Arial" w:hAnsi="Arial" w:cs="Arial"/>
          <w:sz w:val="24"/>
          <w:szCs w:val="24"/>
        </w:rPr>
      </w:pPr>
      <w:r w:rsidRPr="00387F5D">
        <w:rPr>
          <w:rFonts w:ascii="Arial" w:hAnsi="Arial" w:cs="Arial"/>
          <w:sz w:val="24"/>
          <w:szCs w:val="24"/>
        </w:rPr>
        <w:t>It can be seen that 10% of female enrolments were attributed to learners in receipt of free meals</w:t>
      </w:r>
    </w:p>
    <w:p w:rsidR="00E81136" w:rsidRPr="00387F5D" w:rsidRDefault="00E81136" w:rsidP="00E81136">
      <w:pPr>
        <w:tabs>
          <w:tab w:val="num" w:pos="709"/>
        </w:tabs>
        <w:spacing w:after="0" w:line="240" w:lineRule="auto"/>
        <w:ind w:left="709"/>
        <w:rPr>
          <w:rFonts w:ascii="Arial" w:hAnsi="Arial" w:cs="Arial"/>
          <w:sz w:val="24"/>
          <w:szCs w:val="24"/>
        </w:rPr>
      </w:pPr>
    </w:p>
    <w:p w:rsidR="00E81136" w:rsidRDefault="00387F5D" w:rsidP="00E81136">
      <w:pPr>
        <w:numPr>
          <w:ilvl w:val="0"/>
          <w:numId w:val="11"/>
        </w:numPr>
        <w:tabs>
          <w:tab w:val="clear" w:pos="1080"/>
          <w:tab w:val="num" w:pos="709"/>
        </w:tabs>
        <w:spacing w:after="0" w:line="240" w:lineRule="auto"/>
        <w:ind w:left="709"/>
        <w:rPr>
          <w:rFonts w:ascii="Arial" w:hAnsi="Arial" w:cs="Arial"/>
          <w:sz w:val="24"/>
          <w:szCs w:val="24"/>
        </w:rPr>
      </w:pPr>
      <w:r w:rsidRPr="00387F5D">
        <w:rPr>
          <w:rFonts w:ascii="Arial" w:hAnsi="Arial" w:cs="Arial"/>
          <w:sz w:val="24"/>
          <w:szCs w:val="24"/>
        </w:rPr>
        <w:t>College wide</w:t>
      </w:r>
      <w:r w:rsidR="003D6D52">
        <w:rPr>
          <w:rFonts w:ascii="Arial" w:hAnsi="Arial" w:cs="Arial"/>
          <w:sz w:val="24"/>
          <w:szCs w:val="24"/>
        </w:rPr>
        <w:t>,</w:t>
      </w:r>
      <w:r w:rsidRPr="00387F5D">
        <w:rPr>
          <w:rFonts w:ascii="Arial" w:hAnsi="Arial" w:cs="Arial"/>
          <w:sz w:val="24"/>
          <w:szCs w:val="24"/>
        </w:rPr>
        <w:t xml:space="preserve"> the percentage of enrolments attributed to learners in receipt of free meals is 8.9%</w:t>
      </w:r>
    </w:p>
    <w:p w:rsidR="00387F5D" w:rsidRPr="00387F5D" w:rsidRDefault="00387F5D" w:rsidP="00E81136">
      <w:pPr>
        <w:tabs>
          <w:tab w:val="num" w:pos="709"/>
        </w:tabs>
        <w:spacing w:after="0" w:line="240" w:lineRule="auto"/>
        <w:ind w:left="709"/>
        <w:rPr>
          <w:rFonts w:ascii="Arial" w:hAnsi="Arial" w:cs="Arial"/>
          <w:sz w:val="24"/>
          <w:szCs w:val="24"/>
        </w:rPr>
      </w:pPr>
      <w:r w:rsidRPr="00387F5D">
        <w:rPr>
          <w:rFonts w:ascii="Arial" w:hAnsi="Arial" w:cs="Arial"/>
          <w:sz w:val="24"/>
          <w:szCs w:val="24"/>
        </w:rPr>
        <w:t xml:space="preserve"> </w:t>
      </w:r>
    </w:p>
    <w:p w:rsidR="00387F5D" w:rsidRDefault="00387F5D" w:rsidP="00E81136">
      <w:pPr>
        <w:numPr>
          <w:ilvl w:val="0"/>
          <w:numId w:val="11"/>
        </w:numPr>
        <w:tabs>
          <w:tab w:val="clear" w:pos="1080"/>
          <w:tab w:val="num" w:pos="709"/>
        </w:tabs>
        <w:spacing w:after="0" w:line="240" w:lineRule="auto"/>
        <w:ind w:left="709"/>
        <w:rPr>
          <w:rFonts w:ascii="Arial" w:hAnsi="Arial" w:cs="Arial"/>
          <w:sz w:val="24"/>
          <w:szCs w:val="24"/>
        </w:rPr>
      </w:pPr>
      <w:r w:rsidRPr="00387F5D">
        <w:rPr>
          <w:rFonts w:ascii="Arial" w:hAnsi="Arial" w:cs="Arial"/>
          <w:sz w:val="24"/>
          <w:szCs w:val="24"/>
        </w:rPr>
        <w:t xml:space="preserve">The </w:t>
      </w:r>
      <w:r w:rsidR="003D6D52">
        <w:rPr>
          <w:rFonts w:ascii="Arial" w:hAnsi="Arial" w:cs="Arial"/>
          <w:sz w:val="24"/>
          <w:szCs w:val="24"/>
        </w:rPr>
        <w:t>S</w:t>
      </w:r>
      <w:r w:rsidRPr="00387F5D">
        <w:rPr>
          <w:rFonts w:ascii="Arial" w:hAnsi="Arial" w:cs="Arial"/>
          <w:sz w:val="24"/>
          <w:szCs w:val="24"/>
        </w:rPr>
        <w:t>chool with the highest percentage of</w:t>
      </w:r>
      <w:r w:rsidR="00012D3A">
        <w:rPr>
          <w:rFonts w:ascii="Arial" w:hAnsi="Arial" w:cs="Arial"/>
          <w:sz w:val="24"/>
          <w:szCs w:val="24"/>
        </w:rPr>
        <w:t xml:space="preserve"> enrolments on free meals is PVS</w:t>
      </w:r>
      <w:r w:rsidRPr="00387F5D">
        <w:rPr>
          <w:rFonts w:ascii="Arial" w:hAnsi="Arial" w:cs="Arial"/>
          <w:sz w:val="24"/>
          <w:szCs w:val="24"/>
        </w:rPr>
        <w:t xml:space="preserve"> shortly followed by HAT and BTH</w:t>
      </w:r>
    </w:p>
    <w:p w:rsidR="00E81136" w:rsidRPr="00387F5D" w:rsidRDefault="00E81136" w:rsidP="00E81136">
      <w:pPr>
        <w:tabs>
          <w:tab w:val="num" w:pos="709"/>
        </w:tabs>
        <w:spacing w:after="0" w:line="240" w:lineRule="auto"/>
        <w:ind w:left="709"/>
        <w:rPr>
          <w:rFonts w:ascii="Arial" w:hAnsi="Arial" w:cs="Arial"/>
          <w:sz w:val="24"/>
          <w:szCs w:val="24"/>
        </w:rPr>
      </w:pPr>
    </w:p>
    <w:p w:rsidR="00387F5D" w:rsidRDefault="003D48C0" w:rsidP="00E81136">
      <w:pPr>
        <w:numPr>
          <w:ilvl w:val="0"/>
          <w:numId w:val="11"/>
        </w:numPr>
        <w:tabs>
          <w:tab w:val="clear" w:pos="1080"/>
          <w:tab w:val="num" w:pos="709"/>
        </w:tabs>
        <w:spacing w:after="0" w:line="240" w:lineRule="auto"/>
        <w:ind w:left="709"/>
        <w:rPr>
          <w:rFonts w:ascii="Arial" w:hAnsi="Arial" w:cs="Arial"/>
          <w:sz w:val="24"/>
          <w:szCs w:val="24"/>
        </w:rPr>
      </w:pPr>
      <w:r>
        <w:rPr>
          <w:rFonts w:ascii="Arial" w:hAnsi="Arial" w:cs="Arial"/>
          <w:sz w:val="24"/>
          <w:szCs w:val="24"/>
        </w:rPr>
        <w:t>It can be seen that males in receipt of</w:t>
      </w:r>
      <w:r w:rsidR="00387F5D" w:rsidRPr="00387F5D">
        <w:rPr>
          <w:rFonts w:ascii="Arial" w:hAnsi="Arial" w:cs="Arial"/>
          <w:sz w:val="24"/>
          <w:szCs w:val="24"/>
        </w:rPr>
        <w:t xml:space="preserve"> free meals have better retenti</w:t>
      </w:r>
      <w:r>
        <w:rPr>
          <w:rFonts w:ascii="Arial" w:hAnsi="Arial" w:cs="Arial"/>
          <w:sz w:val="24"/>
          <w:szCs w:val="24"/>
        </w:rPr>
        <w:t>on, attainment and success than males who are not in receipt of free meals</w:t>
      </w:r>
    </w:p>
    <w:p w:rsidR="00E81136" w:rsidRPr="00387F5D" w:rsidRDefault="00E81136" w:rsidP="00E81136">
      <w:pPr>
        <w:tabs>
          <w:tab w:val="num" w:pos="709"/>
        </w:tabs>
        <w:spacing w:after="0" w:line="240" w:lineRule="auto"/>
        <w:ind w:left="709"/>
        <w:rPr>
          <w:rFonts w:ascii="Arial" w:hAnsi="Arial" w:cs="Arial"/>
          <w:sz w:val="24"/>
          <w:szCs w:val="24"/>
        </w:rPr>
      </w:pPr>
    </w:p>
    <w:p w:rsidR="00387F5D" w:rsidRDefault="00387F5D" w:rsidP="00E81136">
      <w:pPr>
        <w:numPr>
          <w:ilvl w:val="0"/>
          <w:numId w:val="11"/>
        </w:numPr>
        <w:tabs>
          <w:tab w:val="clear" w:pos="1080"/>
          <w:tab w:val="num" w:pos="709"/>
        </w:tabs>
        <w:spacing w:after="0" w:line="240" w:lineRule="auto"/>
        <w:ind w:left="709"/>
        <w:rPr>
          <w:rFonts w:ascii="Arial" w:hAnsi="Arial" w:cs="Arial"/>
          <w:sz w:val="24"/>
          <w:szCs w:val="24"/>
        </w:rPr>
      </w:pPr>
      <w:r w:rsidRPr="00387F5D">
        <w:rPr>
          <w:rFonts w:ascii="Arial" w:hAnsi="Arial" w:cs="Arial"/>
          <w:sz w:val="24"/>
          <w:szCs w:val="24"/>
        </w:rPr>
        <w:t>It can be seen that females on free meals have better retention, attainment and success than females not on free meals</w:t>
      </w:r>
    </w:p>
    <w:p w:rsidR="00E81136" w:rsidRPr="00387F5D" w:rsidRDefault="00E81136" w:rsidP="00E81136">
      <w:pPr>
        <w:tabs>
          <w:tab w:val="num" w:pos="709"/>
        </w:tabs>
        <w:spacing w:after="0" w:line="240" w:lineRule="auto"/>
        <w:ind w:left="709"/>
        <w:rPr>
          <w:rFonts w:ascii="Arial" w:hAnsi="Arial" w:cs="Arial"/>
          <w:sz w:val="24"/>
          <w:szCs w:val="24"/>
        </w:rPr>
      </w:pPr>
    </w:p>
    <w:p w:rsidR="00387F5D" w:rsidRPr="00387F5D" w:rsidRDefault="00387F5D" w:rsidP="00E81136">
      <w:pPr>
        <w:numPr>
          <w:ilvl w:val="0"/>
          <w:numId w:val="11"/>
        </w:numPr>
        <w:tabs>
          <w:tab w:val="clear" w:pos="1080"/>
          <w:tab w:val="num" w:pos="709"/>
        </w:tabs>
        <w:spacing w:after="0" w:line="240" w:lineRule="auto"/>
        <w:ind w:left="709"/>
        <w:rPr>
          <w:rFonts w:ascii="Arial" w:hAnsi="Arial" w:cs="Arial"/>
          <w:sz w:val="24"/>
          <w:szCs w:val="24"/>
        </w:rPr>
      </w:pPr>
      <w:r w:rsidRPr="00387F5D">
        <w:rPr>
          <w:rFonts w:ascii="Arial" w:hAnsi="Arial" w:cs="Arial"/>
          <w:sz w:val="24"/>
          <w:szCs w:val="24"/>
        </w:rPr>
        <w:t>College wid</w:t>
      </w:r>
      <w:r w:rsidR="003D6D52">
        <w:rPr>
          <w:rFonts w:ascii="Arial" w:hAnsi="Arial" w:cs="Arial"/>
          <w:sz w:val="24"/>
          <w:szCs w:val="24"/>
        </w:rPr>
        <w:t>e,</w:t>
      </w:r>
      <w:r w:rsidRPr="00387F5D">
        <w:rPr>
          <w:rFonts w:ascii="Arial" w:hAnsi="Arial" w:cs="Arial"/>
          <w:sz w:val="24"/>
          <w:szCs w:val="24"/>
        </w:rPr>
        <w:t xml:space="preserve"> learners on free meals outperform those who are not in receipt of free meals. </w:t>
      </w:r>
    </w:p>
    <w:p w:rsidR="00387F5D" w:rsidRDefault="00387F5D" w:rsidP="00387F5D">
      <w:pPr>
        <w:rPr>
          <w:rFonts w:ascii="Arial" w:hAnsi="Arial" w:cs="Arial"/>
          <w:b/>
          <w:sz w:val="24"/>
          <w:szCs w:val="24"/>
        </w:rPr>
      </w:pPr>
    </w:p>
    <w:p w:rsidR="00BC008A" w:rsidRPr="00387F5D" w:rsidRDefault="00BC008A" w:rsidP="00BC008A">
      <w:pPr>
        <w:jc w:val="both"/>
        <w:rPr>
          <w:rFonts w:ascii="Arial" w:hAnsi="Arial" w:cs="Arial"/>
          <w:b/>
          <w:sz w:val="24"/>
          <w:szCs w:val="24"/>
        </w:rPr>
      </w:pPr>
      <w:r w:rsidRPr="00387F5D">
        <w:rPr>
          <w:rFonts w:ascii="Arial" w:hAnsi="Arial" w:cs="Arial"/>
          <w:b/>
          <w:sz w:val="24"/>
          <w:szCs w:val="24"/>
        </w:rPr>
        <w:t>Learners with Criminal Convictions</w:t>
      </w:r>
    </w:p>
    <w:p w:rsidR="00BC008A" w:rsidRDefault="00BC008A" w:rsidP="00BC008A">
      <w:pPr>
        <w:numPr>
          <w:ilvl w:val="0"/>
          <w:numId w:val="10"/>
        </w:numPr>
        <w:spacing w:after="0" w:line="240" w:lineRule="auto"/>
        <w:rPr>
          <w:rFonts w:ascii="Arial" w:hAnsi="Arial" w:cs="Arial"/>
          <w:sz w:val="24"/>
          <w:szCs w:val="24"/>
        </w:rPr>
      </w:pPr>
      <w:r w:rsidRPr="00387F5D">
        <w:rPr>
          <w:rFonts w:ascii="Arial" w:hAnsi="Arial" w:cs="Arial"/>
          <w:sz w:val="24"/>
          <w:szCs w:val="24"/>
        </w:rPr>
        <w:t>In 2009-2010</w:t>
      </w:r>
      <w:r>
        <w:rPr>
          <w:rFonts w:ascii="Arial" w:hAnsi="Arial" w:cs="Arial"/>
          <w:sz w:val="24"/>
          <w:szCs w:val="24"/>
        </w:rPr>
        <w:t>,</w:t>
      </w:r>
      <w:r w:rsidRPr="00387F5D">
        <w:rPr>
          <w:rFonts w:ascii="Arial" w:hAnsi="Arial" w:cs="Arial"/>
          <w:sz w:val="24"/>
          <w:szCs w:val="24"/>
        </w:rPr>
        <w:t xml:space="preserve"> approximately 0.72% of all enrolments were attributed to learners with criminal convictions</w:t>
      </w:r>
    </w:p>
    <w:p w:rsidR="00BC008A" w:rsidRPr="00387F5D" w:rsidRDefault="00BC008A" w:rsidP="00BC008A">
      <w:pPr>
        <w:spacing w:after="0" w:line="240" w:lineRule="auto"/>
        <w:ind w:left="720"/>
        <w:rPr>
          <w:rFonts w:ascii="Arial" w:hAnsi="Arial" w:cs="Arial"/>
          <w:sz w:val="24"/>
          <w:szCs w:val="24"/>
        </w:rPr>
      </w:pPr>
    </w:p>
    <w:p w:rsidR="00BC008A" w:rsidRDefault="00BC008A" w:rsidP="00BC008A">
      <w:pPr>
        <w:numPr>
          <w:ilvl w:val="0"/>
          <w:numId w:val="10"/>
        </w:numPr>
        <w:spacing w:after="0" w:line="240" w:lineRule="auto"/>
        <w:rPr>
          <w:rFonts w:ascii="Arial" w:hAnsi="Arial" w:cs="Arial"/>
          <w:sz w:val="24"/>
          <w:szCs w:val="24"/>
        </w:rPr>
      </w:pPr>
      <w:r w:rsidRPr="00387F5D">
        <w:rPr>
          <w:rFonts w:ascii="Arial" w:hAnsi="Arial" w:cs="Arial"/>
          <w:sz w:val="24"/>
          <w:szCs w:val="24"/>
        </w:rPr>
        <w:t xml:space="preserve">The </w:t>
      </w:r>
      <w:r>
        <w:rPr>
          <w:rFonts w:ascii="Arial" w:hAnsi="Arial" w:cs="Arial"/>
          <w:sz w:val="24"/>
          <w:szCs w:val="24"/>
        </w:rPr>
        <w:t>S</w:t>
      </w:r>
      <w:r w:rsidRPr="00387F5D">
        <w:rPr>
          <w:rFonts w:ascii="Arial" w:hAnsi="Arial" w:cs="Arial"/>
          <w:sz w:val="24"/>
          <w:szCs w:val="24"/>
        </w:rPr>
        <w:t>chool with the highest number of males with criminal convictions</w:t>
      </w:r>
      <w:r>
        <w:rPr>
          <w:rFonts w:ascii="Arial" w:hAnsi="Arial" w:cs="Arial"/>
          <w:sz w:val="24"/>
          <w:szCs w:val="24"/>
        </w:rPr>
        <w:t xml:space="preserve"> was CBE closely followed by ENG and PVS</w:t>
      </w:r>
    </w:p>
    <w:p w:rsidR="00BC008A" w:rsidRPr="00387F5D" w:rsidRDefault="00BC008A" w:rsidP="00BC008A">
      <w:pPr>
        <w:spacing w:after="0" w:line="240" w:lineRule="auto"/>
        <w:ind w:left="720"/>
        <w:rPr>
          <w:rFonts w:ascii="Arial" w:hAnsi="Arial" w:cs="Arial"/>
          <w:sz w:val="24"/>
          <w:szCs w:val="24"/>
        </w:rPr>
      </w:pPr>
    </w:p>
    <w:p w:rsidR="00BC008A" w:rsidRDefault="00BC008A" w:rsidP="00BC008A">
      <w:pPr>
        <w:numPr>
          <w:ilvl w:val="0"/>
          <w:numId w:val="10"/>
        </w:numPr>
        <w:spacing w:after="0" w:line="240" w:lineRule="auto"/>
        <w:rPr>
          <w:rFonts w:ascii="Arial" w:hAnsi="Arial" w:cs="Arial"/>
          <w:sz w:val="24"/>
          <w:szCs w:val="24"/>
        </w:rPr>
      </w:pPr>
      <w:r w:rsidRPr="00387F5D">
        <w:rPr>
          <w:rFonts w:ascii="Arial" w:hAnsi="Arial" w:cs="Arial"/>
          <w:sz w:val="24"/>
          <w:szCs w:val="24"/>
        </w:rPr>
        <w:t xml:space="preserve">The </w:t>
      </w:r>
      <w:r>
        <w:rPr>
          <w:rFonts w:ascii="Arial" w:hAnsi="Arial" w:cs="Arial"/>
          <w:sz w:val="24"/>
          <w:szCs w:val="24"/>
        </w:rPr>
        <w:t>S</w:t>
      </w:r>
      <w:r w:rsidRPr="00387F5D">
        <w:rPr>
          <w:rFonts w:ascii="Arial" w:hAnsi="Arial" w:cs="Arial"/>
          <w:sz w:val="24"/>
          <w:szCs w:val="24"/>
        </w:rPr>
        <w:t>chool with the highest number of females with criminal convictions was BTH closely followed by SPS</w:t>
      </w:r>
    </w:p>
    <w:p w:rsidR="00012D3A" w:rsidRDefault="00012D3A" w:rsidP="00012D3A">
      <w:pPr>
        <w:pStyle w:val="ListParagraph"/>
        <w:rPr>
          <w:rFonts w:ascii="Arial" w:hAnsi="Arial" w:cs="Arial"/>
          <w:sz w:val="24"/>
          <w:szCs w:val="24"/>
        </w:rPr>
      </w:pPr>
    </w:p>
    <w:p w:rsidR="00012D3A" w:rsidRDefault="00012D3A" w:rsidP="00012D3A">
      <w:pPr>
        <w:numPr>
          <w:ilvl w:val="0"/>
          <w:numId w:val="10"/>
        </w:numPr>
        <w:spacing w:after="0" w:line="240" w:lineRule="auto"/>
        <w:rPr>
          <w:rFonts w:ascii="Arial" w:hAnsi="Arial" w:cs="Arial"/>
          <w:sz w:val="24"/>
          <w:szCs w:val="24"/>
        </w:rPr>
      </w:pPr>
      <w:r w:rsidRPr="00387F5D">
        <w:rPr>
          <w:rFonts w:ascii="Arial" w:hAnsi="Arial" w:cs="Arial"/>
          <w:sz w:val="24"/>
          <w:szCs w:val="24"/>
        </w:rPr>
        <w:t>The retention, attainment and success of males with criminal convictions lagged behind that of males without criminal convictions</w:t>
      </w:r>
    </w:p>
    <w:p w:rsidR="00012D3A" w:rsidRDefault="00012D3A" w:rsidP="00012D3A">
      <w:pPr>
        <w:spacing w:after="0" w:line="240" w:lineRule="auto"/>
        <w:ind w:left="720"/>
        <w:rPr>
          <w:rFonts w:ascii="Arial" w:hAnsi="Arial" w:cs="Arial"/>
          <w:sz w:val="24"/>
          <w:szCs w:val="24"/>
        </w:rPr>
      </w:pPr>
    </w:p>
    <w:p w:rsidR="00BC008A" w:rsidRPr="00387F5D" w:rsidRDefault="00BC008A" w:rsidP="00BC008A">
      <w:pPr>
        <w:spacing w:after="0" w:line="240" w:lineRule="auto"/>
        <w:ind w:left="720"/>
        <w:rPr>
          <w:rFonts w:ascii="Arial" w:hAnsi="Arial" w:cs="Arial"/>
          <w:sz w:val="24"/>
          <w:szCs w:val="24"/>
        </w:rPr>
      </w:pPr>
    </w:p>
    <w:p w:rsidR="00BC008A" w:rsidRDefault="00BC008A" w:rsidP="00BC008A">
      <w:pPr>
        <w:numPr>
          <w:ilvl w:val="0"/>
          <w:numId w:val="10"/>
        </w:numPr>
        <w:spacing w:after="0" w:line="240" w:lineRule="auto"/>
        <w:rPr>
          <w:rFonts w:ascii="Arial" w:hAnsi="Arial" w:cs="Arial"/>
          <w:sz w:val="24"/>
          <w:szCs w:val="24"/>
        </w:rPr>
      </w:pPr>
      <w:r w:rsidRPr="00387F5D">
        <w:rPr>
          <w:rFonts w:ascii="Arial" w:hAnsi="Arial" w:cs="Arial"/>
          <w:sz w:val="24"/>
          <w:szCs w:val="24"/>
        </w:rPr>
        <w:t>The retention, attainment and success of females with criminal convictions exceeded that of females without criminal convictions</w:t>
      </w:r>
    </w:p>
    <w:p w:rsidR="00BC008A" w:rsidRPr="00387F5D" w:rsidRDefault="00BC008A" w:rsidP="00BC008A">
      <w:pPr>
        <w:spacing w:after="0" w:line="240" w:lineRule="auto"/>
        <w:ind w:left="720"/>
        <w:rPr>
          <w:rFonts w:ascii="Arial" w:hAnsi="Arial" w:cs="Arial"/>
          <w:sz w:val="24"/>
          <w:szCs w:val="24"/>
        </w:rPr>
      </w:pPr>
    </w:p>
    <w:p w:rsidR="00BC008A" w:rsidRPr="00387F5D" w:rsidRDefault="00BC008A" w:rsidP="00BC008A">
      <w:pPr>
        <w:spacing w:after="0" w:line="240" w:lineRule="auto"/>
        <w:ind w:left="720"/>
        <w:rPr>
          <w:rFonts w:ascii="Arial" w:hAnsi="Arial" w:cs="Arial"/>
          <w:sz w:val="24"/>
          <w:szCs w:val="24"/>
        </w:rPr>
      </w:pPr>
    </w:p>
    <w:p w:rsidR="00BC008A" w:rsidRDefault="00BC008A" w:rsidP="00BC008A">
      <w:pPr>
        <w:numPr>
          <w:ilvl w:val="0"/>
          <w:numId w:val="10"/>
        </w:numPr>
        <w:spacing w:after="0" w:line="240" w:lineRule="auto"/>
        <w:rPr>
          <w:rFonts w:ascii="Arial" w:hAnsi="Arial" w:cs="Arial"/>
          <w:sz w:val="24"/>
          <w:szCs w:val="24"/>
        </w:rPr>
      </w:pPr>
      <w:r w:rsidRPr="00387F5D">
        <w:rPr>
          <w:rFonts w:ascii="Arial" w:hAnsi="Arial" w:cs="Arial"/>
          <w:sz w:val="24"/>
          <w:szCs w:val="24"/>
        </w:rPr>
        <w:t xml:space="preserve">In comparing the retention, attainment and success of males and females </w:t>
      </w:r>
      <w:r w:rsidRPr="00387F5D">
        <w:rPr>
          <w:rFonts w:ascii="Arial" w:hAnsi="Arial" w:cs="Arial"/>
          <w:b/>
          <w:sz w:val="24"/>
          <w:szCs w:val="24"/>
        </w:rPr>
        <w:t>with</w:t>
      </w:r>
      <w:r w:rsidRPr="00387F5D">
        <w:rPr>
          <w:rFonts w:ascii="Arial" w:hAnsi="Arial" w:cs="Arial"/>
          <w:sz w:val="24"/>
          <w:szCs w:val="24"/>
        </w:rPr>
        <w:t xml:space="preserve"> criminal convictions</w:t>
      </w:r>
      <w:r>
        <w:rPr>
          <w:rFonts w:ascii="Arial" w:hAnsi="Arial" w:cs="Arial"/>
          <w:sz w:val="24"/>
          <w:szCs w:val="24"/>
        </w:rPr>
        <w:t>,</w:t>
      </w:r>
      <w:r w:rsidRPr="00387F5D">
        <w:rPr>
          <w:rFonts w:ascii="Arial" w:hAnsi="Arial" w:cs="Arial"/>
          <w:sz w:val="24"/>
          <w:szCs w:val="24"/>
        </w:rPr>
        <w:t xml:space="preserve"> it can be seen that the performance of females exceeds that of males</w:t>
      </w:r>
    </w:p>
    <w:p w:rsidR="00BC008A" w:rsidRPr="00387F5D" w:rsidRDefault="00BC008A" w:rsidP="00BC008A">
      <w:pPr>
        <w:spacing w:after="0" w:line="240" w:lineRule="auto"/>
        <w:ind w:left="720"/>
        <w:rPr>
          <w:rFonts w:ascii="Arial" w:hAnsi="Arial" w:cs="Arial"/>
          <w:sz w:val="24"/>
          <w:szCs w:val="24"/>
        </w:rPr>
      </w:pPr>
    </w:p>
    <w:p w:rsidR="00BC008A" w:rsidRPr="00387F5D" w:rsidRDefault="00BC008A" w:rsidP="00BC008A">
      <w:pPr>
        <w:numPr>
          <w:ilvl w:val="0"/>
          <w:numId w:val="10"/>
        </w:numPr>
        <w:spacing w:after="0" w:line="240" w:lineRule="auto"/>
        <w:rPr>
          <w:rFonts w:ascii="Arial" w:hAnsi="Arial" w:cs="Arial"/>
          <w:sz w:val="24"/>
          <w:szCs w:val="24"/>
        </w:rPr>
      </w:pPr>
      <w:r w:rsidRPr="00387F5D">
        <w:rPr>
          <w:rFonts w:ascii="Arial" w:hAnsi="Arial" w:cs="Arial"/>
          <w:sz w:val="24"/>
          <w:szCs w:val="24"/>
        </w:rPr>
        <w:t xml:space="preserve">In comparing the retention, attainment and success of </w:t>
      </w:r>
      <w:r>
        <w:rPr>
          <w:rFonts w:ascii="Arial" w:hAnsi="Arial" w:cs="Arial"/>
          <w:sz w:val="24"/>
          <w:szCs w:val="24"/>
        </w:rPr>
        <w:t xml:space="preserve">all learners with     criminal convictions to those without criminal convictions, the data indicates that learners without criminal convictions do better than those with criminal convictions. </w:t>
      </w:r>
    </w:p>
    <w:p w:rsidR="00BC008A" w:rsidRPr="00387F5D" w:rsidRDefault="00BC008A" w:rsidP="00BC008A">
      <w:pPr>
        <w:ind w:left="360"/>
        <w:rPr>
          <w:rFonts w:ascii="Arial" w:hAnsi="Arial" w:cs="Arial"/>
          <w:sz w:val="24"/>
          <w:szCs w:val="24"/>
        </w:rPr>
      </w:pPr>
    </w:p>
    <w:p w:rsidR="00BC008A" w:rsidRPr="00387F5D" w:rsidRDefault="00BC008A" w:rsidP="00BC008A">
      <w:pPr>
        <w:rPr>
          <w:rFonts w:ascii="Arial" w:hAnsi="Arial" w:cs="Arial"/>
          <w:sz w:val="24"/>
          <w:szCs w:val="24"/>
        </w:rPr>
      </w:pPr>
      <w:r w:rsidRPr="00387F5D">
        <w:rPr>
          <w:rFonts w:ascii="Arial" w:hAnsi="Arial" w:cs="Arial"/>
          <w:sz w:val="24"/>
          <w:szCs w:val="24"/>
        </w:rPr>
        <w:t>It has been decided not to explore this data down to a</w:t>
      </w:r>
      <w:r>
        <w:rPr>
          <w:rFonts w:ascii="Arial" w:hAnsi="Arial" w:cs="Arial"/>
          <w:sz w:val="24"/>
          <w:szCs w:val="24"/>
        </w:rPr>
        <w:t xml:space="preserve"> S</w:t>
      </w:r>
      <w:r w:rsidRPr="00387F5D">
        <w:rPr>
          <w:rFonts w:ascii="Arial" w:hAnsi="Arial" w:cs="Arial"/>
          <w:sz w:val="24"/>
          <w:szCs w:val="24"/>
        </w:rPr>
        <w:t xml:space="preserve">chool level due to the relatively small number of learners with criminal convictions. Any analysis of such data may be skewed. </w:t>
      </w:r>
    </w:p>
    <w:p w:rsidR="00E81136" w:rsidRDefault="00E81136" w:rsidP="00387F5D">
      <w:pPr>
        <w:rPr>
          <w:rFonts w:ascii="Arial" w:hAnsi="Arial" w:cs="Arial"/>
          <w:b/>
          <w:sz w:val="24"/>
          <w:szCs w:val="24"/>
        </w:rPr>
      </w:pPr>
    </w:p>
    <w:p w:rsidR="00E81136" w:rsidRDefault="00E81136" w:rsidP="00387F5D">
      <w:pPr>
        <w:rPr>
          <w:rFonts w:ascii="Arial" w:hAnsi="Arial" w:cs="Arial"/>
          <w:b/>
          <w:sz w:val="24"/>
          <w:szCs w:val="24"/>
        </w:rPr>
      </w:pPr>
    </w:p>
    <w:p w:rsidR="00E81136" w:rsidRDefault="00E81136" w:rsidP="00387F5D">
      <w:pPr>
        <w:rPr>
          <w:rFonts w:ascii="Arial" w:hAnsi="Arial" w:cs="Arial"/>
          <w:b/>
          <w:sz w:val="24"/>
          <w:szCs w:val="24"/>
        </w:rPr>
      </w:pPr>
    </w:p>
    <w:p w:rsidR="00E81136" w:rsidRDefault="00E81136" w:rsidP="00387F5D">
      <w:pPr>
        <w:rPr>
          <w:rFonts w:ascii="Arial" w:hAnsi="Arial" w:cs="Arial"/>
          <w:b/>
          <w:sz w:val="24"/>
          <w:szCs w:val="24"/>
        </w:rPr>
      </w:pPr>
    </w:p>
    <w:p w:rsidR="00E81136" w:rsidRDefault="00E81136" w:rsidP="00387F5D">
      <w:pPr>
        <w:rPr>
          <w:rFonts w:ascii="Arial" w:hAnsi="Arial" w:cs="Arial"/>
          <w:b/>
          <w:sz w:val="24"/>
          <w:szCs w:val="24"/>
        </w:rPr>
      </w:pPr>
    </w:p>
    <w:p w:rsidR="00E81136" w:rsidRDefault="00E81136" w:rsidP="00387F5D">
      <w:pPr>
        <w:rPr>
          <w:rFonts w:ascii="Arial" w:hAnsi="Arial" w:cs="Arial"/>
          <w:b/>
          <w:sz w:val="24"/>
          <w:szCs w:val="24"/>
        </w:rPr>
      </w:pPr>
    </w:p>
    <w:p w:rsidR="00E81136" w:rsidRDefault="00E81136" w:rsidP="00387F5D">
      <w:pPr>
        <w:rPr>
          <w:rFonts w:ascii="Arial" w:hAnsi="Arial" w:cs="Arial"/>
          <w:b/>
          <w:sz w:val="24"/>
          <w:szCs w:val="24"/>
        </w:rPr>
      </w:pPr>
    </w:p>
    <w:p w:rsidR="00E81136" w:rsidRPr="00387F5D" w:rsidRDefault="00E81136" w:rsidP="00387F5D">
      <w:pPr>
        <w:rPr>
          <w:rFonts w:ascii="Arial" w:hAnsi="Arial" w:cs="Arial"/>
          <w:b/>
          <w:sz w:val="24"/>
          <w:szCs w:val="24"/>
        </w:rPr>
      </w:pPr>
    </w:p>
    <w:p w:rsidR="00387F5D" w:rsidRPr="00387F5D" w:rsidRDefault="00387F5D" w:rsidP="00387F5D">
      <w:pPr>
        <w:rPr>
          <w:rFonts w:ascii="Arial" w:hAnsi="Arial" w:cs="Arial"/>
          <w:b/>
          <w:sz w:val="24"/>
          <w:szCs w:val="24"/>
        </w:rPr>
      </w:pPr>
      <w:r w:rsidRPr="00387F5D">
        <w:rPr>
          <w:rFonts w:ascii="Arial" w:hAnsi="Arial" w:cs="Arial"/>
          <w:b/>
          <w:sz w:val="24"/>
          <w:szCs w:val="24"/>
        </w:rPr>
        <w:t>Recommendations</w:t>
      </w:r>
    </w:p>
    <w:p w:rsidR="00387F5D" w:rsidRPr="00093C38" w:rsidRDefault="00387F5D" w:rsidP="00387F5D">
      <w:pPr>
        <w:rPr>
          <w:rFonts w:ascii="Arial" w:hAnsi="Arial" w:cs="Arial"/>
          <w:sz w:val="24"/>
          <w:szCs w:val="24"/>
        </w:rPr>
      </w:pPr>
      <w:r w:rsidRPr="00387F5D">
        <w:rPr>
          <w:rFonts w:ascii="Arial" w:hAnsi="Arial" w:cs="Arial"/>
          <w:sz w:val="24"/>
          <w:szCs w:val="24"/>
        </w:rPr>
        <w:t>If the outcomes of the project are seen to be useful</w:t>
      </w:r>
      <w:r w:rsidR="003D6D52">
        <w:rPr>
          <w:rFonts w:ascii="Arial" w:hAnsi="Arial" w:cs="Arial"/>
          <w:sz w:val="24"/>
          <w:szCs w:val="24"/>
        </w:rPr>
        <w:t>,</w:t>
      </w:r>
      <w:r w:rsidRPr="00387F5D">
        <w:rPr>
          <w:rFonts w:ascii="Arial" w:hAnsi="Arial" w:cs="Arial"/>
          <w:sz w:val="24"/>
          <w:szCs w:val="24"/>
        </w:rPr>
        <w:t xml:space="preserve"> it is recommended that the following action</w:t>
      </w:r>
      <w:r w:rsidR="003D6D52">
        <w:rPr>
          <w:rFonts w:ascii="Arial" w:hAnsi="Arial" w:cs="Arial"/>
          <w:sz w:val="24"/>
          <w:szCs w:val="24"/>
        </w:rPr>
        <w:t>s</w:t>
      </w:r>
      <w:r w:rsidRPr="00387F5D">
        <w:rPr>
          <w:rFonts w:ascii="Arial" w:hAnsi="Arial" w:cs="Arial"/>
          <w:sz w:val="24"/>
          <w:szCs w:val="24"/>
        </w:rPr>
        <w:t xml:space="preserve"> be taken: </w:t>
      </w:r>
    </w:p>
    <w:p w:rsidR="00387F5D" w:rsidRDefault="00387F5D" w:rsidP="00E81136">
      <w:pPr>
        <w:numPr>
          <w:ilvl w:val="0"/>
          <w:numId w:val="13"/>
        </w:numPr>
        <w:tabs>
          <w:tab w:val="clear" w:pos="1080"/>
          <w:tab w:val="num" w:pos="709"/>
        </w:tabs>
        <w:spacing w:after="0" w:line="240" w:lineRule="auto"/>
        <w:ind w:left="709"/>
        <w:rPr>
          <w:rFonts w:ascii="Arial" w:hAnsi="Arial" w:cs="Arial"/>
          <w:sz w:val="24"/>
          <w:szCs w:val="24"/>
        </w:rPr>
      </w:pPr>
      <w:r w:rsidRPr="00387F5D">
        <w:rPr>
          <w:rFonts w:ascii="Arial" w:hAnsi="Arial" w:cs="Arial"/>
          <w:sz w:val="24"/>
          <w:szCs w:val="24"/>
        </w:rPr>
        <w:t xml:space="preserve">The analysis of data should be expanded to include areas of interest to </w:t>
      </w:r>
      <w:proofErr w:type="spellStart"/>
      <w:r w:rsidRPr="00387F5D">
        <w:rPr>
          <w:rFonts w:ascii="Arial" w:hAnsi="Arial" w:cs="Arial"/>
          <w:sz w:val="24"/>
          <w:szCs w:val="24"/>
        </w:rPr>
        <w:t>DfES</w:t>
      </w:r>
      <w:proofErr w:type="spellEnd"/>
      <w:r w:rsidRPr="00387F5D">
        <w:rPr>
          <w:rFonts w:ascii="Arial" w:hAnsi="Arial" w:cs="Arial"/>
          <w:sz w:val="24"/>
          <w:szCs w:val="24"/>
        </w:rPr>
        <w:t xml:space="preserve"> such as age and learners in receipt of EMA</w:t>
      </w:r>
    </w:p>
    <w:p w:rsidR="00387F5D" w:rsidRPr="00387F5D" w:rsidRDefault="00387F5D" w:rsidP="00E81136">
      <w:pPr>
        <w:tabs>
          <w:tab w:val="num" w:pos="709"/>
        </w:tabs>
        <w:spacing w:after="0" w:line="240" w:lineRule="auto"/>
        <w:ind w:left="709"/>
        <w:rPr>
          <w:rFonts w:ascii="Arial" w:hAnsi="Arial" w:cs="Arial"/>
          <w:sz w:val="24"/>
          <w:szCs w:val="24"/>
        </w:rPr>
      </w:pPr>
    </w:p>
    <w:p w:rsidR="00387F5D" w:rsidRDefault="00387F5D" w:rsidP="00E81136">
      <w:pPr>
        <w:numPr>
          <w:ilvl w:val="0"/>
          <w:numId w:val="13"/>
        </w:numPr>
        <w:tabs>
          <w:tab w:val="clear" w:pos="1080"/>
          <w:tab w:val="num" w:pos="709"/>
        </w:tabs>
        <w:spacing w:after="0" w:line="240" w:lineRule="auto"/>
        <w:ind w:left="709"/>
        <w:rPr>
          <w:rFonts w:ascii="Arial" w:hAnsi="Arial" w:cs="Arial"/>
          <w:sz w:val="24"/>
          <w:szCs w:val="24"/>
        </w:rPr>
      </w:pPr>
      <w:r w:rsidRPr="00387F5D">
        <w:rPr>
          <w:rFonts w:ascii="Arial" w:hAnsi="Arial" w:cs="Arial"/>
          <w:sz w:val="24"/>
          <w:szCs w:val="24"/>
        </w:rPr>
        <w:t>It is also possible to extend further to look at success of learners enrolled on 14 – 16 courses who progress onto further courses at the College</w:t>
      </w:r>
    </w:p>
    <w:p w:rsidR="00387F5D" w:rsidRPr="00387F5D" w:rsidRDefault="00387F5D" w:rsidP="00E81136">
      <w:pPr>
        <w:tabs>
          <w:tab w:val="num" w:pos="709"/>
        </w:tabs>
        <w:spacing w:after="0" w:line="240" w:lineRule="auto"/>
        <w:ind w:left="709"/>
        <w:rPr>
          <w:rFonts w:ascii="Arial" w:hAnsi="Arial" w:cs="Arial"/>
          <w:sz w:val="24"/>
          <w:szCs w:val="24"/>
        </w:rPr>
      </w:pPr>
    </w:p>
    <w:p w:rsidR="00387F5D" w:rsidRDefault="00387F5D" w:rsidP="00E81136">
      <w:pPr>
        <w:numPr>
          <w:ilvl w:val="0"/>
          <w:numId w:val="13"/>
        </w:numPr>
        <w:tabs>
          <w:tab w:val="clear" w:pos="1080"/>
          <w:tab w:val="num" w:pos="709"/>
        </w:tabs>
        <w:spacing w:after="0" w:line="240" w:lineRule="auto"/>
        <w:ind w:left="709"/>
        <w:rPr>
          <w:rFonts w:ascii="Arial" w:hAnsi="Arial" w:cs="Arial"/>
          <w:sz w:val="24"/>
          <w:szCs w:val="24"/>
        </w:rPr>
      </w:pPr>
      <w:r w:rsidRPr="00387F5D">
        <w:rPr>
          <w:rFonts w:ascii="Arial" w:hAnsi="Arial" w:cs="Arial"/>
          <w:sz w:val="24"/>
          <w:szCs w:val="24"/>
        </w:rPr>
        <w:t>A more robust mechanism is needed for tracking learners from the travelling community</w:t>
      </w:r>
    </w:p>
    <w:p w:rsidR="00387F5D" w:rsidRPr="00387F5D" w:rsidRDefault="00387F5D" w:rsidP="00E81136">
      <w:pPr>
        <w:tabs>
          <w:tab w:val="num" w:pos="709"/>
        </w:tabs>
        <w:spacing w:after="0" w:line="240" w:lineRule="auto"/>
        <w:ind w:left="709"/>
        <w:rPr>
          <w:rFonts w:ascii="Arial" w:hAnsi="Arial" w:cs="Arial"/>
          <w:sz w:val="24"/>
          <w:szCs w:val="24"/>
        </w:rPr>
      </w:pPr>
    </w:p>
    <w:p w:rsidR="00387F5D" w:rsidRDefault="00387F5D" w:rsidP="00E81136">
      <w:pPr>
        <w:numPr>
          <w:ilvl w:val="0"/>
          <w:numId w:val="13"/>
        </w:numPr>
        <w:tabs>
          <w:tab w:val="clear" w:pos="1080"/>
          <w:tab w:val="num" w:pos="709"/>
        </w:tabs>
        <w:spacing w:after="0" w:line="240" w:lineRule="auto"/>
        <w:ind w:left="709"/>
        <w:rPr>
          <w:rFonts w:ascii="Arial" w:hAnsi="Arial" w:cs="Arial"/>
          <w:sz w:val="24"/>
          <w:szCs w:val="24"/>
        </w:rPr>
      </w:pPr>
      <w:r w:rsidRPr="00387F5D">
        <w:rPr>
          <w:rFonts w:ascii="Arial" w:hAnsi="Arial" w:cs="Arial"/>
          <w:sz w:val="24"/>
          <w:szCs w:val="24"/>
        </w:rPr>
        <w:t>An IES database needs to be set up which will link to QL. It will then be possible to analyse the success of learners with all types of learning difficulties and disabilities</w:t>
      </w:r>
    </w:p>
    <w:p w:rsidR="00387F5D" w:rsidRPr="00387F5D" w:rsidRDefault="00387F5D" w:rsidP="00E81136">
      <w:pPr>
        <w:tabs>
          <w:tab w:val="num" w:pos="709"/>
        </w:tabs>
        <w:spacing w:after="0" w:line="240" w:lineRule="auto"/>
        <w:ind w:left="709"/>
        <w:rPr>
          <w:rFonts w:ascii="Arial" w:hAnsi="Arial" w:cs="Arial"/>
          <w:sz w:val="24"/>
          <w:szCs w:val="24"/>
        </w:rPr>
      </w:pPr>
    </w:p>
    <w:p w:rsidR="00387F5D" w:rsidRDefault="00387F5D" w:rsidP="00E81136">
      <w:pPr>
        <w:numPr>
          <w:ilvl w:val="0"/>
          <w:numId w:val="13"/>
        </w:numPr>
        <w:tabs>
          <w:tab w:val="clear" w:pos="1080"/>
          <w:tab w:val="num" w:pos="709"/>
        </w:tabs>
        <w:spacing w:after="0" w:line="240" w:lineRule="auto"/>
        <w:ind w:left="709"/>
        <w:rPr>
          <w:rFonts w:ascii="Arial" w:hAnsi="Arial" w:cs="Arial"/>
          <w:sz w:val="24"/>
          <w:szCs w:val="24"/>
        </w:rPr>
      </w:pPr>
      <w:r w:rsidRPr="00387F5D">
        <w:rPr>
          <w:rFonts w:ascii="Arial" w:hAnsi="Arial" w:cs="Arial"/>
          <w:sz w:val="24"/>
          <w:szCs w:val="24"/>
        </w:rPr>
        <w:t>It may also be beneficial to have a similar system which will allow the analysis of success of learners with different levels of literacy and numeracy</w:t>
      </w:r>
    </w:p>
    <w:p w:rsidR="00387F5D" w:rsidRPr="00387F5D" w:rsidRDefault="00387F5D" w:rsidP="00E81136">
      <w:pPr>
        <w:tabs>
          <w:tab w:val="num" w:pos="709"/>
        </w:tabs>
        <w:spacing w:after="0" w:line="240" w:lineRule="auto"/>
        <w:ind w:left="709"/>
        <w:rPr>
          <w:rFonts w:ascii="Arial" w:hAnsi="Arial" w:cs="Arial"/>
          <w:sz w:val="24"/>
          <w:szCs w:val="24"/>
        </w:rPr>
      </w:pPr>
    </w:p>
    <w:p w:rsidR="00387F5D" w:rsidRDefault="00387F5D" w:rsidP="00E81136">
      <w:pPr>
        <w:numPr>
          <w:ilvl w:val="0"/>
          <w:numId w:val="13"/>
        </w:numPr>
        <w:tabs>
          <w:tab w:val="clear" w:pos="1080"/>
          <w:tab w:val="num" w:pos="709"/>
        </w:tabs>
        <w:spacing w:after="0" w:line="240" w:lineRule="auto"/>
        <w:ind w:left="709"/>
        <w:rPr>
          <w:rFonts w:ascii="Arial" w:hAnsi="Arial" w:cs="Arial"/>
          <w:sz w:val="24"/>
          <w:szCs w:val="24"/>
        </w:rPr>
      </w:pPr>
      <w:r w:rsidRPr="00387F5D">
        <w:rPr>
          <w:rFonts w:ascii="Arial" w:hAnsi="Arial" w:cs="Arial"/>
          <w:sz w:val="24"/>
          <w:szCs w:val="24"/>
        </w:rPr>
        <w:t>An electronic tracking system is being developed between Learner Services and MIS which will allow a great</w:t>
      </w:r>
      <w:r w:rsidR="003D48C0">
        <w:rPr>
          <w:rFonts w:ascii="Arial" w:hAnsi="Arial" w:cs="Arial"/>
          <w:sz w:val="24"/>
          <w:szCs w:val="24"/>
        </w:rPr>
        <w:t>er</w:t>
      </w:r>
      <w:r w:rsidRPr="00387F5D">
        <w:rPr>
          <w:rFonts w:ascii="Arial" w:hAnsi="Arial" w:cs="Arial"/>
          <w:sz w:val="24"/>
          <w:szCs w:val="24"/>
        </w:rPr>
        <w:t xml:space="preserve"> accuracy in tracking the success of learners on EMA, those in receipt of free meals and those with criminal convictions. This system will need to be linked to QL so that details of retention and attainment can be determined</w:t>
      </w:r>
    </w:p>
    <w:p w:rsidR="00387F5D" w:rsidRPr="00387F5D" w:rsidRDefault="00387F5D" w:rsidP="00E81136">
      <w:pPr>
        <w:tabs>
          <w:tab w:val="num" w:pos="709"/>
        </w:tabs>
        <w:spacing w:after="0" w:line="240" w:lineRule="auto"/>
        <w:ind w:left="709"/>
        <w:rPr>
          <w:rFonts w:ascii="Arial" w:hAnsi="Arial" w:cs="Arial"/>
          <w:sz w:val="24"/>
          <w:szCs w:val="24"/>
        </w:rPr>
      </w:pPr>
    </w:p>
    <w:p w:rsidR="00387F5D" w:rsidRDefault="00387F5D" w:rsidP="00E81136">
      <w:pPr>
        <w:numPr>
          <w:ilvl w:val="0"/>
          <w:numId w:val="13"/>
        </w:numPr>
        <w:tabs>
          <w:tab w:val="clear" w:pos="1080"/>
          <w:tab w:val="num" w:pos="709"/>
        </w:tabs>
        <w:spacing w:after="0" w:line="240" w:lineRule="auto"/>
        <w:ind w:left="709"/>
        <w:rPr>
          <w:rFonts w:ascii="Arial" w:hAnsi="Arial" w:cs="Arial"/>
          <w:sz w:val="24"/>
          <w:szCs w:val="24"/>
        </w:rPr>
      </w:pPr>
      <w:r w:rsidRPr="00387F5D">
        <w:rPr>
          <w:rFonts w:ascii="Arial" w:hAnsi="Arial" w:cs="Arial"/>
          <w:sz w:val="24"/>
          <w:szCs w:val="24"/>
        </w:rPr>
        <w:t>If the project is to be continued</w:t>
      </w:r>
      <w:r w:rsidR="003D6D52">
        <w:rPr>
          <w:rFonts w:ascii="Arial" w:hAnsi="Arial" w:cs="Arial"/>
          <w:sz w:val="24"/>
          <w:szCs w:val="24"/>
        </w:rPr>
        <w:t>,</w:t>
      </w:r>
      <w:r w:rsidRPr="00387F5D">
        <w:rPr>
          <w:rFonts w:ascii="Arial" w:hAnsi="Arial" w:cs="Arial"/>
          <w:sz w:val="24"/>
          <w:szCs w:val="24"/>
        </w:rPr>
        <w:t xml:space="preserve"> the data should be analysed on an annual basis with an agreed data freeze so that all parameters may be analysed accurately</w:t>
      </w:r>
    </w:p>
    <w:p w:rsidR="00387F5D" w:rsidRPr="00387F5D" w:rsidRDefault="00387F5D" w:rsidP="00E81136">
      <w:pPr>
        <w:tabs>
          <w:tab w:val="num" w:pos="709"/>
        </w:tabs>
        <w:spacing w:after="0" w:line="240" w:lineRule="auto"/>
        <w:ind w:left="709"/>
        <w:rPr>
          <w:rFonts w:ascii="Arial" w:hAnsi="Arial" w:cs="Arial"/>
          <w:sz w:val="24"/>
          <w:szCs w:val="24"/>
        </w:rPr>
      </w:pPr>
    </w:p>
    <w:p w:rsidR="00387F5D" w:rsidRPr="00387F5D" w:rsidRDefault="00387F5D" w:rsidP="00E81136">
      <w:pPr>
        <w:numPr>
          <w:ilvl w:val="0"/>
          <w:numId w:val="13"/>
        </w:numPr>
        <w:tabs>
          <w:tab w:val="clear" w:pos="1080"/>
          <w:tab w:val="num" w:pos="709"/>
        </w:tabs>
        <w:spacing w:after="0" w:line="240" w:lineRule="auto"/>
        <w:ind w:left="709"/>
        <w:rPr>
          <w:rFonts w:ascii="Arial" w:hAnsi="Arial" w:cs="Arial"/>
          <w:sz w:val="24"/>
          <w:szCs w:val="24"/>
        </w:rPr>
      </w:pPr>
      <w:r w:rsidRPr="00387F5D">
        <w:rPr>
          <w:rFonts w:ascii="Arial" w:hAnsi="Arial" w:cs="Arial"/>
          <w:sz w:val="24"/>
          <w:szCs w:val="24"/>
        </w:rPr>
        <w:t xml:space="preserve">Staff training is essential so that all members of staff recognise that all aspects of the enrolment form, interview checklist and Learner Health Statement are completed fully. </w:t>
      </w:r>
    </w:p>
    <w:p w:rsidR="00387F5D" w:rsidRPr="00387F5D" w:rsidRDefault="00387F5D" w:rsidP="00387F5D">
      <w:pPr>
        <w:rPr>
          <w:rFonts w:ascii="Arial" w:hAnsi="Arial" w:cs="Arial"/>
          <w:b/>
          <w:sz w:val="24"/>
          <w:szCs w:val="24"/>
        </w:rPr>
      </w:pPr>
    </w:p>
    <w:p w:rsidR="00387F5D" w:rsidRPr="00387F5D" w:rsidRDefault="00387F5D" w:rsidP="00387F5D">
      <w:pPr>
        <w:rPr>
          <w:rFonts w:ascii="Arial" w:hAnsi="Arial" w:cs="Arial"/>
          <w:b/>
          <w:sz w:val="24"/>
          <w:szCs w:val="24"/>
        </w:rPr>
      </w:pPr>
    </w:p>
    <w:p w:rsidR="00387F5D" w:rsidRPr="00387F5D" w:rsidRDefault="00387F5D" w:rsidP="00B259C1">
      <w:pPr>
        <w:rPr>
          <w:rFonts w:ascii="Arial" w:hAnsi="Arial" w:cs="Arial"/>
          <w:sz w:val="24"/>
          <w:szCs w:val="24"/>
        </w:rPr>
      </w:pPr>
    </w:p>
    <w:p w:rsidR="00387F5D" w:rsidRPr="00387F5D" w:rsidRDefault="00387F5D" w:rsidP="00B259C1">
      <w:pPr>
        <w:rPr>
          <w:rFonts w:ascii="Arial" w:hAnsi="Arial" w:cs="Arial"/>
          <w:sz w:val="24"/>
          <w:szCs w:val="24"/>
        </w:rPr>
      </w:pPr>
    </w:p>
    <w:p w:rsidR="00387F5D" w:rsidRPr="00387F5D" w:rsidRDefault="00387F5D" w:rsidP="00B259C1">
      <w:pPr>
        <w:rPr>
          <w:rFonts w:ascii="Arial" w:hAnsi="Arial" w:cs="Arial"/>
          <w:sz w:val="24"/>
          <w:szCs w:val="24"/>
        </w:rPr>
      </w:pPr>
    </w:p>
    <w:p w:rsidR="00387F5D" w:rsidRPr="00387F5D" w:rsidRDefault="00387F5D" w:rsidP="00B259C1">
      <w:pPr>
        <w:rPr>
          <w:rFonts w:ascii="Arial" w:hAnsi="Arial" w:cs="Arial"/>
          <w:sz w:val="24"/>
          <w:szCs w:val="24"/>
        </w:rPr>
      </w:pPr>
    </w:p>
    <w:p w:rsidR="00387F5D" w:rsidRPr="00387F5D" w:rsidRDefault="00387F5D" w:rsidP="00B259C1">
      <w:pPr>
        <w:rPr>
          <w:rFonts w:ascii="Arial" w:hAnsi="Arial" w:cs="Arial"/>
          <w:sz w:val="24"/>
          <w:szCs w:val="24"/>
        </w:rPr>
      </w:pPr>
    </w:p>
    <w:sectPr w:rsidR="00387F5D" w:rsidRPr="00387F5D" w:rsidSect="00981EC6">
      <w:footerReference w:type="default" r:id="rId1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AE2" w:rsidRDefault="006D0AE2" w:rsidP="00413D06">
      <w:pPr>
        <w:spacing w:after="0" w:line="240" w:lineRule="auto"/>
      </w:pPr>
      <w:r>
        <w:separator/>
      </w:r>
    </w:p>
  </w:endnote>
  <w:endnote w:type="continuationSeparator" w:id="0">
    <w:p w:rsidR="006D0AE2" w:rsidRDefault="006D0AE2" w:rsidP="00413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342127"/>
      <w:docPartObj>
        <w:docPartGallery w:val="Page Numbers (Bottom of Page)"/>
        <w:docPartUnique/>
      </w:docPartObj>
    </w:sdtPr>
    <w:sdtEndPr>
      <w:rPr>
        <w:noProof/>
      </w:rPr>
    </w:sdtEndPr>
    <w:sdtContent>
      <w:p w:rsidR="006D0AE2" w:rsidRDefault="006E6C28">
        <w:pPr>
          <w:pStyle w:val="Footer"/>
          <w:jc w:val="center"/>
        </w:pPr>
        <w:fldSimple w:instr=" PAGE   \* MERGEFORMAT ">
          <w:r w:rsidR="00443895">
            <w:rPr>
              <w:noProof/>
            </w:rPr>
            <w:t>6</w:t>
          </w:r>
        </w:fldSimple>
      </w:p>
    </w:sdtContent>
  </w:sdt>
  <w:p w:rsidR="006D0AE2" w:rsidRDefault="006D0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AE2" w:rsidRDefault="006D0AE2" w:rsidP="00413D06">
      <w:pPr>
        <w:spacing w:after="0" w:line="240" w:lineRule="auto"/>
      </w:pPr>
      <w:r>
        <w:separator/>
      </w:r>
    </w:p>
  </w:footnote>
  <w:footnote w:type="continuationSeparator" w:id="0">
    <w:p w:rsidR="006D0AE2" w:rsidRDefault="006D0AE2" w:rsidP="00413D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912"/>
    <w:multiLevelType w:val="hybridMultilevel"/>
    <w:tmpl w:val="691A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377F5"/>
    <w:multiLevelType w:val="hybridMultilevel"/>
    <w:tmpl w:val="780493A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12E63EE0"/>
    <w:multiLevelType w:val="hybridMultilevel"/>
    <w:tmpl w:val="914EDC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4DD280E"/>
    <w:multiLevelType w:val="hybridMultilevel"/>
    <w:tmpl w:val="90D25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5505DB"/>
    <w:multiLevelType w:val="hybridMultilevel"/>
    <w:tmpl w:val="C6FC6C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A80851"/>
    <w:multiLevelType w:val="hybridMultilevel"/>
    <w:tmpl w:val="39B8A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1C3737"/>
    <w:multiLevelType w:val="hybridMultilevel"/>
    <w:tmpl w:val="D054D7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2ED7342A"/>
    <w:multiLevelType w:val="hybridMultilevel"/>
    <w:tmpl w:val="A3822E9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3FE21521"/>
    <w:multiLevelType w:val="hybridMultilevel"/>
    <w:tmpl w:val="78F48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DA1BEB"/>
    <w:multiLevelType w:val="hybridMultilevel"/>
    <w:tmpl w:val="754C84CE"/>
    <w:lvl w:ilvl="0" w:tplc="08090001">
      <w:start w:val="1"/>
      <w:numFmt w:val="bullet"/>
      <w:lvlText w:val=""/>
      <w:lvlJc w:val="left"/>
      <w:pPr>
        <w:tabs>
          <w:tab w:val="num" w:pos="1215"/>
        </w:tabs>
        <w:ind w:left="1215" w:hanging="360"/>
      </w:pPr>
      <w:rPr>
        <w:rFonts w:ascii="Symbol" w:hAnsi="Symbol" w:hint="default"/>
      </w:rPr>
    </w:lvl>
    <w:lvl w:ilvl="1" w:tplc="08090003" w:tentative="1">
      <w:start w:val="1"/>
      <w:numFmt w:val="bullet"/>
      <w:lvlText w:val="o"/>
      <w:lvlJc w:val="left"/>
      <w:pPr>
        <w:tabs>
          <w:tab w:val="num" w:pos="1935"/>
        </w:tabs>
        <w:ind w:left="1935" w:hanging="360"/>
      </w:pPr>
      <w:rPr>
        <w:rFonts w:ascii="Courier New" w:hAnsi="Courier New" w:cs="Courier New" w:hint="default"/>
      </w:rPr>
    </w:lvl>
    <w:lvl w:ilvl="2" w:tplc="08090005" w:tentative="1">
      <w:start w:val="1"/>
      <w:numFmt w:val="bullet"/>
      <w:lvlText w:val=""/>
      <w:lvlJc w:val="left"/>
      <w:pPr>
        <w:tabs>
          <w:tab w:val="num" w:pos="2655"/>
        </w:tabs>
        <w:ind w:left="2655" w:hanging="360"/>
      </w:pPr>
      <w:rPr>
        <w:rFonts w:ascii="Wingdings" w:hAnsi="Wingdings" w:hint="default"/>
      </w:rPr>
    </w:lvl>
    <w:lvl w:ilvl="3" w:tplc="08090001" w:tentative="1">
      <w:start w:val="1"/>
      <w:numFmt w:val="bullet"/>
      <w:lvlText w:val=""/>
      <w:lvlJc w:val="left"/>
      <w:pPr>
        <w:tabs>
          <w:tab w:val="num" w:pos="3375"/>
        </w:tabs>
        <w:ind w:left="3375" w:hanging="360"/>
      </w:pPr>
      <w:rPr>
        <w:rFonts w:ascii="Symbol" w:hAnsi="Symbol" w:hint="default"/>
      </w:rPr>
    </w:lvl>
    <w:lvl w:ilvl="4" w:tplc="08090003" w:tentative="1">
      <w:start w:val="1"/>
      <w:numFmt w:val="bullet"/>
      <w:lvlText w:val="o"/>
      <w:lvlJc w:val="left"/>
      <w:pPr>
        <w:tabs>
          <w:tab w:val="num" w:pos="4095"/>
        </w:tabs>
        <w:ind w:left="4095" w:hanging="360"/>
      </w:pPr>
      <w:rPr>
        <w:rFonts w:ascii="Courier New" w:hAnsi="Courier New" w:cs="Courier New" w:hint="default"/>
      </w:rPr>
    </w:lvl>
    <w:lvl w:ilvl="5" w:tplc="08090005" w:tentative="1">
      <w:start w:val="1"/>
      <w:numFmt w:val="bullet"/>
      <w:lvlText w:val=""/>
      <w:lvlJc w:val="left"/>
      <w:pPr>
        <w:tabs>
          <w:tab w:val="num" w:pos="4815"/>
        </w:tabs>
        <w:ind w:left="4815" w:hanging="360"/>
      </w:pPr>
      <w:rPr>
        <w:rFonts w:ascii="Wingdings" w:hAnsi="Wingdings" w:hint="default"/>
      </w:rPr>
    </w:lvl>
    <w:lvl w:ilvl="6" w:tplc="08090001" w:tentative="1">
      <w:start w:val="1"/>
      <w:numFmt w:val="bullet"/>
      <w:lvlText w:val=""/>
      <w:lvlJc w:val="left"/>
      <w:pPr>
        <w:tabs>
          <w:tab w:val="num" w:pos="5535"/>
        </w:tabs>
        <w:ind w:left="5535" w:hanging="360"/>
      </w:pPr>
      <w:rPr>
        <w:rFonts w:ascii="Symbol" w:hAnsi="Symbol" w:hint="default"/>
      </w:rPr>
    </w:lvl>
    <w:lvl w:ilvl="7" w:tplc="08090003" w:tentative="1">
      <w:start w:val="1"/>
      <w:numFmt w:val="bullet"/>
      <w:lvlText w:val="o"/>
      <w:lvlJc w:val="left"/>
      <w:pPr>
        <w:tabs>
          <w:tab w:val="num" w:pos="6255"/>
        </w:tabs>
        <w:ind w:left="6255" w:hanging="360"/>
      </w:pPr>
      <w:rPr>
        <w:rFonts w:ascii="Courier New" w:hAnsi="Courier New" w:cs="Courier New" w:hint="default"/>
      </w:rPr>
    </w:lvl>
    <w:lvl w:ilvl="8" w:tplc="08090005" w:tentative="1">
      <w:start w:val="1"/>
      <w:numFmt w:val="bullet"/>
      <w:lvlText w:val=""/>
      <w:lvlJc w:val="left"/>
      <w:pPr>
        <w:tabs>
          <w:tab w:val="num" w:pos="6975"/>
        </w:tabs>
        <w:ind w:left="6975" w:hanging="360"/>
      </w:pPr>
      <w:rPr>
        <w:rFonts w:ascii="Wingdings" w:hAnsi="Wingdings" w:hint="default"/>
      </w:rPr>
    </w:lvl>
  </w:abstractNum>
  <w:abstractNum w:abstractNumId="10">
    <w:nsid w:val="4ED7457A"/>
    <w:multiLevelType w:val="hybridMultilevel"/>
    <w:tmpl w:val="20583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F7D7B29"/>
    <w:multiLevelType w:val="hybridMultilevel"/>
    <w:tmpl w:val="0BBA5B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7BE140B3"/>
    <w:multiLevelType w:val="hybridMultilevel"/>
    <w:tmpl w:val="603A2F9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7D9A4C6C"/>
    <w:multiLevelType w:val="hybridMultilevel"/>
    <w:tmpl w:val="31DAC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0"/>
  </w:num>
  <w:num w:numId="4">
    <w:abstractNumId w:val="8"/>
  </w:num>
  <w:num w:numId="5">
    <w:abstractNumId w:val="5"/>
  </w:num>
  <w:num w:numId="6">
    <w:abstractNumId w:val="13"/>
  </w:num>
  <w:num w:numId="7">
    <w:abstractNumId w:val="7"/>
  </w:num>
  <w:num w:numId="8">
    <w:abstractNumId w:val="12"/>
  </w:num>
  <w:num w:numId="9">
    <w:abstractNumId w:val="6"/>
  </w:num>
  <w:num w:numId="10">
    <w:abstractNumId w:val="4"/>
  </w:num>
  <w:num w:numId="11">
    <w:abstractNumId w:val="1"/>
  </w:num>
  <w:num w:numId="12">
    <w:abstractNumId w:val="9"/>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useFELayout/>
  </w:compat>
  <w:rsids>
    <w:rsidRoot w:val="00413D06"/>
    <w:rsid w:val="00012D3A"/>
    <w:rsid w:val="000136F0"/>
    <w:rsid w:val="000411BD"/>
    <w:rsid w:val="00045548"/>
    <w:rsid w:val="00054AE8"/>
    <w:rsid w:val="0005501A"/>
    <w:rsid w:val="00063F4B"/>
    <w:rsid w:val="000828B1"/>
    <w:rsid w:val="00085434"/>
    <w:rsid w:val="00093C38"/>
    <w:rsid w:val="000A6F54"/>
    <w:rsid w:val="000B2E8D"/>
    <w:rsid w:val="000B43AE"/>
    <w:rsid w:val="000C43CA"/>
    <w:rsid w:val="000C689A"/>
    <w:rsid w:val="000D1655"/>
    <w:rsid w:val="000E0CD9"/>
    <w:rsid w:val="00105CD2"/>
    <w:rsid w:val="00126326"/>
    <w:rsid w:val="00136AC3"/>
    <w:rsid w:val="001539B4"/>
    <w:rsid w:val="00166D80"/>
    <w:rsid w:val="0019634F"/>
    <w:rsid w:val="001A564E"/>
    <w:rsid w:val="001B14E2"/>
    <w:rsid w:val="001B4D7B"/>
    <w:rsid w:val="001D3076"/>
    <w:rsid w:val="001E333B"/>
    <w:rsid w:val="001E7256"/>
    <w:rsid w:val="001F2B0D"/>
    <w:rsid w:val="00207D44"/>
    <w:rsid w:val="00210714"/>
    <w:rsid w:val="002177C0"/>
    <w:rsid w:val="002669FA"/>
    <w:rsid w:val="00270EF2"/>
    <w:rsid w:val="0028254A"/>
    <w:rsid w:val="0028703B"/>
    <w:rsid w:val="00297CCD"/>
    <w:rsid w:val="002A0186"/>
    <w:rsid w:val="002A6F57"/>
    <w:rsid w:val="002B0680"/>
    <w:rsid w:val="002B19F9"/>
    <w:rsid w:val="002B74C3"/>
    <w:rsid w:val="002C775E"/>
    <w:rsid w:val="002D4F2A"/>
    <w:rsid w:val="002F3F7E"/>
    <w:rsid w:val="00305B07"/>
    <w:rsid w:val="00325066"/>
    <w:rsid w:val="00325626"/>
    <w:rsid w:val="00332E27"/>
    <w:rsid w:val="00365F57"/>
    <w:rsid w:val="00370FE2"/>
    <w:rsid w:val="00387F5D"/>
    <w:rsid w:val="003A5DB5"/>
    <w:rsid w:val="003C073F"/>
    <w:rsid w:val="003C6780"/>
    <w:rsid w:val="003C7053"/>
    <w:rsid w:val="003D48C0"/>
    <w:rsid w:val="003D6083"/>
    <w:rsid w:val="003D6D52"/>
    <w:rsid w:val="0041107B"/>
    <w:rsid w:val="00413D06"/>
    <w:rsid w:val="00443895"/>
    <w:rsid w:val="00450B3D"/>
    <w:rsid w:val="00455595"/>
    <w:rsid w:val="0046034A"/>
    <w:rsid w:val="00466ADD"/>
    <w:rsid w:val="004749C7"/>
    <w:rsid w:val="00484F08"/>
    <w:rsid w:val="004926F2"/>
    <w:rsid w:val="004B2202"/>
    <w:rsid w:val="004B43BA"/>
    <w:rsid w:val="004D5A63"/>
    <w:rsid w:val="004D78D7"/>
    <w:rsid w:val="004E25DE"/>
    <w:rsid w:val="004F32DC"/>
    <w:rsid w:val="0050125C"/>
    <w:rsid w:val="00501FCF"/>
    <w:rsid w:val="00520BCF"/>
    <w:rsid w:val="0052241E"/>
    <w:rsid w:val="00522472"/>
    <w:rsid w:val="00530F63"/>
    <w:rsid w:val="00575A83"/>
    <w:rsid w:val="00581402"/>
    <w:rsid w:val="00585D2B"/>
    <w:rsid w:val="00585D90"/>
    <w:rsid w:val="00590916"/>
    <w:rsid w:val="00590D3E"/>
    <w:rsid w:val="00591DDD"/>
    <w:rsid w:val="00592BFB"/>
    <w:rsid w:val="005941B3"/>
    <w:rsid w:val="0059500D"/>
    <w:rsid w:val="00596BDD"/>
    <w:rsid w:val="005A74A4"/>
    <w:rsid w:val="005B06D4"/>
    <w:rsid w:val="005C6929"/>
    <w:rsid w:val="005C7A86"/>
    <w:rsid w:val="005D03B6"/>
    <w:rsid w:val="005F1977"/>
    <w:rsid w:val="00611124"/>
    <w:rsid w:val="00614ECF"/>
    <w:rsid w:val="0061795C"/>
    <w:rsid w:val="00623022"/>
    <w:rsid w:val="006231C9"/>
    <w:rsid w:val="00623680"/>
    <w:rsid w:val="006245C8"/>
    <w:rsid w:val="00655904"/>
    <w:rsid w:val="00670CC3"/>
    <w:rsid w:val="0067181F"/>
    <w:rsid w:val="00693E28"/>
    <w:rsid w:val="006D0AE2"/>
    <w:rsid w:val="006E6C28"/>
    <w:rsid w:val="00711041"/>
    <w:rsid w:val="00720D5D"/>
    <w:rsid w:val="00747C76"/>
    <w:rsid w:val="00752E75"/>
    <w:rsid w:val="00752F05"/>
    <w:rsid w:val="007705A8"/>
    <w:rsid w:val="0078618F"/>
    <w:rsid w:val="007905D3"/>
    <w:rsid w:val="0079665D"/>
    <w:rsid w:val="007A7B95"/>
    <w:rsid w:val="007B0291"/>
    <w:rsid w:val="007B40EF"/>
    <w:rsid w:val="007B62B6"/>
    <w:rsid w:val="007C1B10"/>
    <w:rsid w:val="007D3540"/>
    <w:rsid w:val="007D44DB"/>
    <w:rsid w:val="007D44FC"/>
    <w:rsid w:val="0082585E"/>
    <w:rsid w:val="00825CD4"/>
    <w:rsid w:val="00833266"/>
    <w:rsid w:val="008410C8"/>
    <w:rsid w:val="0084517A"/>
    <w:rsid w:val="00854CB5"/>
    <w:rsid w:val="0086010C"/>
    <w:rsid w:val="00861F5C"/>
    <w:rsid w:val="00865320"/>
    <w:rsid w:val="00867A31"/>
    <w:rsid w:val="00873EEC"/>
    <w:rsid w:val="008B05F3"/>
    <w:rsid w:val="008C477C"/>
    <w:rsid w:val="008D3484"/>
    <w:rsid w:val="008E1A6A"/>
    <w:rsid w:val="008E64C1"/>
    <w:rsid w:val="008E75C2"/>
    <w:rsid w:val="008F3DEE"/>
    <w:rsid w:val="00921DF8"/>
    <w:rsid w:val="00924E0B"/>
    <w:rsid w:val="009270D8"/>
    <w:rsid w:val="00951614"/>
    <w:rsid w:val="00963A75"/>
    <w:rsid w:val="00965640"/>
    <w:rsid w:val="00971904"/>
    <w:rsid w:val="00971CE6"/>
    <w:rsid w:val="00981446"/>
    <w:rsid w:val="00981EC6"/>
    <w:rsid w:val="009A17DC"/>
    <w:rsid w:val="009A3285"/>
    <w:rsid w:val="009C4F68"/>
    <w:rsid w:val="009C7C6A"/>
    <w:rsid w:val="00A420A3"/>
    <w:rsid w:val="00A4649A"/>
    <w:rsid w:val="00A527E2"/>
    <w:rsid w:val="00A6133D"/>
    <w:rsid w:val="00A632FE"/>
    <w:rsid w:val="00A65628"/>
    <w:rsid w:val="00A75C4C"/>
    <w:rsid w:val="00A8156E"/>
    <w:rsid w:val="00A825DC"/>
    <w:rsid w:val="00A83BE8"/>
    <w:rsid w:val="00A84ED8"/>
    <w:rsid w:val="00A97963"/>
    <w:rsid w:val="00AA02EE"/>
    <w:rsid w:val="00AA5131"/>
    <w:rsid w:val="00AB7B26"/>
    <w:rsid w:val="00AB7D19"/>
    <w:rsid w:val="00AC507D"/>
    <w:rsid w:val="00AE04D2"/>
    <w:rsid w:val="00AF4428"/>
    <w:rsid w:val="00B006F1"/>
    <w:rsid w:val="00B259C1"/>
    <w:rsid w:val="00B3177B"/>
    <w:rsid w:val="00B504C5"/>
    <w:rsid w:val="00B653A6"/>
    <w:rsid w:val="00B70B1F"/>
    <w:rsid w:val="00B722CE"/>
    <w:rsid w:val="00BA4530"/>
    <w:rsid w:val="00BC008A"/>
    <w:rsid w:val="00BD01C3"/>
    <w:rsid w:val="00BD18C4"/>
    <w:rsid w:val="00BF1981"/>
    <w:rsid w:val="00C02397"/>
    <w:rsid w:val="00C045BA"/>
    <w:rsid w:val="00C175CB"/>
    <w:rsid w:val="00C20255"/>
    <w:rsid w:val="00C2066F"/>
    <w:rsid w:val="00C26FC7"/>
    <w:rsid w:val="00C41E9E"/>
    <w:rsid w:val="00C62E3A"/>
    <w:rsid w:val="00C63808"/>
    <w:rsid w:val="00C70E46"/>
    <w:rsid w:val="00CA2353"/>
    <w:rsid w:val="00CC188E"/>
    <w:rsid w:val="00CC7848"/>
    <w:rsid w:val="00CE45FB"/>
    <w:rsid w:val="00D06D73"/>
    <w:rsid w:val="00D153A7"/>
    <w:rsid w:val="00D244A0"/>
    <w:rsid w:val="00D463F6"/>
    <w:rsid w:val="00D729EF"/>
    <w:rsid w:val="00D7309B"/>
    <w:rsid w:val="00DB14F2"/>
    <w:rsid w:val="00DB4205"/>
    <w:rsid w:val="00DC4491"/>
    <w:rsid w:val="00DC512B"/>
    <w:rsid w:val="00E013E4"/>
    <w:rsid w:val="00E0463F"/>
    <w:rsid w:val="00E06722"/>
    <w:rsid w:val="00E069AE"/>
    <w:rsid w:val="00E21F9D"/>
    <w:rsid w:val="00E2774B"/>
    <w:rsid w:val="00E44A7C"/>
    <w:rsid w:val="00E55EBC"/>
    <w:rsid w:val="00E6211C"/>
    <w:rsid w:val="00E66975"/>
    <w:rsid w:val="00E72FDA"/>
    <w:rsid w:val="00E7498C"/>
    <w:rsid w:val="00E81136"/>
    <w:rsid w:val="00EA16DE"/>
    <w:rsid w:val="00EC665A"/>
    <w:rsid w:val="00ED0592"/>
    <w:rsid w:val="00ED3A31"/>
    <w:rsid w:val="00EF0D63"/>
    <w:rsid w:val="00F1530C"/>
    <w:rsid w:val="00F34BB6"/>
    <w:rsid w:val="00F374FE"/>
    <w:rsid w:val="00F55AD2"/>
    <w:rsid w:val="00F6031A"/>
    <w:rsid w:val="00F74FD4"/>
    <w:rsid w:val="00F86952"/>
    <w:rsid w:val="00F96B63"/>
    <w:rsid w:val="00FA1300"/>
    <w:rsid w:val="00FB1A6B"/>
    <w:rsid w:val="00FB432E"/>
    <w:rsid w:val="00FD7F17"/>
    <w:rsid w:val="00FE39C2"/>
    <w:rsid w:val="00FE3D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3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D06"/>
    <w:rPr>
      <w:rFonts w:ascii="Tahoma" w:hAnsi="Tahoma" w:cs="Tahoma"/>
      <w:sz w:val="16"/>
      <w:szCs w:val="16"/>
    </w:rPr>
  </w:style>
  <w:style w:type="paragraph" w:styleId="ListParagraph">
    <w:name w:val="List Paragraph"/>
    <w:basedOn w:val="Normal"/>
    <w:uiPriority w:val="34"/>
    <w:qFormat/>
    <w:rsid w:val="00413D06"/>
    <w:pPr>
      <w:ind w:left="720"/>
      <w:contextualSpacing/>
    </w:pPr>
  </w:style>
  <w:style w:type="paragraph" w:styleId="Header">
    <w:name w:val="header"/>
    <w:basedOn w:val="Normal"/>
    <w:link w:val="HeaderChar"/>
    <w:uiPriority w:val="99"/>
    <w:unhideWhenUsed/>
    <w:rsid w:val="00413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D06"/>
  </w:style>
  <w:style w:type="paragraph" w:styleId="Footer">
    <w:name w:val="footer"/>
    <w:basedOn w:val="Normal"/>
    <w:link w:val="FooterChar"/>
    <w:uiPriority w:val="99"/>
    <w:unhideWhenUsed/>
    <w:rsid w:val="00413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D06"/>
  </w:style>
  <w:style w:type="table" w:styleId="TableGrid">
    <w:name w:val="Table Grid"/>
    <w:basedOn w:val="TableNormal"/>
    <w:uiPriority w:val="59"/>
    <w:rsid w:val="000E0C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E0C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D06"/>
    <w:rPr>
      <w:rFonts w:ascii="Tahoma" w:hAnsi="Tahoma" w:cs="Tahoma"/>
      <w:sz w:val="16"/>
      <w:szCs w:val="16"/>
    </w:rPr>
  </w:style>
  <w:style w:type="paragraph" w:styleId="ListParagraph">
    <w:name w:val="List Paragraph"/>
    <w:basedOn w:val="Normal"/>
    <w:uiPriority w:val="34"/>
    <w:qFormat/>
    <w:rsid w:val="00413D06"/>
    <w:pPr>
      <w:ind w:left="720"/>
      <w:contextualSpacing/>
    </w:pPr>
  </w:style>
  <w:style w:type="paragraph" w:styleId="Header">
    <w:name w:val="header"/>
    <w:basedOn w:val="Normal"/>
    <w:link w:val="HeaderChar"/>
    <w:uiPriority w:val="99"/>
    <w:unhideWhenUsed/>
    <w:rsid w:val="00413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D06"/>
  </w:style>
  <w:style w:type="paragraph" w:styleId="Footer">
    <w:name w:val="footer"/>
    <w:basedOn w:val="Normal"/>
    <w:link w:val="FooterChar"/>
    <w:uiPriority w:val="99"/>
    <w:unhideWhenUsed/>
    <w:rsid w:val="00413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D06"/>
  </w:style>
  <w:style w:type="table" w:styleId="TableGrid">
    <w:name w:val="Table Grid"/>
    <w:basedOn w:val="TableNormal"/>
    <w:uiPriority w:val="59"/>
    <w:rsid w:val="000E0C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E0C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631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7.xml"/><Relationship Id="rId21" Type="http://schemas.openxmlformats.org/officeDocument/2006/relationships/chart" Target="charts/chart12.xml"/><Relationship Id="rId42" Type="http://schemas.openxmlformats.org/officeDocument/2006/relationships/chart" Target="charts/chart32.xml"/><Relationship Id="rId47" Type="http://schemas.openxmlformats.org/officeDocument/2006/relationships/chart" Target="charts/chart37.xml"/><Relationship Id="rId63" Type="http://schemas.openxmlformats.org/officeDocument/2006/relationships/chart" Target="charts/chart53.xml"/><Relationship Id="rId68" Type="http://schemas.openxmlformats.org/officeDocument/2006/relationships/chart" Target="charts/chart58.xml"/><Relationship Id="rId84" Type="http://schemas.openxmlformats.org/officeDocument/2006/relationships/chart" Target="charts/chart74.xml"/><Relationship Id="rId89" Type="http://schemas.openxmlformats.org/officeDocument/2006/relationships/chart" Target="charts/chart79.xm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0.xml"/><Relationship Id="rId107" Type="http://schemas.openxmlformats.org/officeDocument/2006/relationships/chart" Target="charts/chart97.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0.xml"/><Relationship Id="rId45" Type="http://schemas.openxmlformats.org/officeDocument/2006/relationships/chart" Target="charts/chart35.xml"/><Relationship Id="rId53" Type="http://schemas.openxmlformats.org/officeDocument/2006/relationships/chart" Target="charts/chart43.xml"/><Relationship Id="rId58" Type="http://schemas.openxmlformats.org/officeDocument/2006/relationships/chart" Target="charts/chart48.xml"/><Relationship Id="rId66" Type="http://schemas.openxmlformats.org/officeDocument/2006/relationships/chart" Target="charts/chart56.xml"/><Relationship Id="rId74" Type="http://schemas.openxmlformats.org/officeDocument/2006/relationships/chart" Target="charts/chart64.xml"/><Relationship Id="rId79" Type="http://schemas.openxmlformats.org/officeDocument/2006/relationships/chart" Target="charts/chart69.xml"/><Relationship Id="rId87" Type="http://schemas.openxmlformats.org/officeDocument/2006/relationships/chart" Target="charts/chart77.xml"/><Relationship Id="rId102" Type="http://schemas.openxmlformats.org/officeDocument/2006/relationships/chart" Target="charts/chart92.xm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chart" Target="charts/chart51.xml"/><Relationship Id="rId82" Type="http://schemas.openxmlformats.org/officeDocument/2006/relationships/chart" Target="charts/chart72.xml"/><Relationship Id="rId90" Type="http://schemas.openxmlformats.org/officeDocument/2006/relationships/chart" Target="charts/chart80.xml"/><Relationship Id="rId95" Type="http://schemas.openxmlformats.org/officeDocument/2006/relationships/chart" Target="charts/chart85.xml"/><Relationship Id="rId19" Type="http://schemas.openxmlformats.org/officeDocument/2006/relationships/chart" Target="charts/chart10.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3.xml"/><Relationship Id="rId48" Type="http://schemas.openxmlformats.org/officeDocument/2006/relationships/chart" Target="charts/chart38.xml"/><Relationship Id="rId56" Type="http://schemas.openxmlformats.org/officeDocument/2006/relationships/chart" Target="charts/chart46.xml"/><Relationship Id="rId64" Type="http://schemas.openxmlformats.org/officeDocument/2006/relationships/chart" Target="charts/chart54.xml"/><Relationship Id="rId69" Type="http://schemas.openxmlformats.org/officeDocument/2006/relationships/chart" Target="charts/chart59.xml"/><Relationship Id="rId77" Type="http://schemas.openxmlformats.org/officeDocument/2006/relationships/chart" Target="charts/chart67.xml"/><Relationship Id="rId100" Type="http://schemas.openxmlformats.org/officeDocument/2006/relationships/chart" Target="charts/chart90.xml"/><Relationship Id="rId105" Type="http://schemas.openxmlformats.org/officeDocument/2006/relationships/chart" Target="charts/chart95.xml"/><Relationship Id="rId113"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chart" Target="charts/chart41.xml"/><Relationship Id="rId72" Type="http://schemas.openxmlformats.org/officeDocument/2006/relationships/chart" Target="charts/chart62.xml"/><Relationship Id="rId80" Type="http://schemas.openxmlformats.org/officeDocument/2006/relationships/chart" Target="charts/chart70.xml"/><Relationship Id="rId85" Type="http://schemas.openxmlformats.org/officeDocument/2006/relationships/chart" Target="charts/chart75.xml"/><Relationship Id="rId93" Type="http://schemas.openxmlformats.org/officeDocument/2006/relationships/chart" Target="charts/chart83.xml"/><Relationship Id="rId98" Type="http://schemas.openxmlformats.org/officeDocument/2006/relationships/chart" Target="charts/chart88.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6.xml"/><Relationship Id="rId59" Type="http://schemas.openxmlformats.org/officeDocument/2006/relationships/chart" Target="charts/chart49.xml"/><Relationship Id="rId67" Type="http://schemas.openxmlformats.org/officeDocument/2006/relationships/chart" Target="charts/chart57.xml"/><Relationship Id="rId103" Type="http://schemas.openxmlformats.org/officeDocument/2006/relationships/chart" Target="charts/chart93.xml"/><Relationship Id="rId108" Type="http://schemas.openxmlformats.org/officeDocument/2006/relationships/chart" Target="charts/chart98.xml"/><Relationship Id="rId20" Type="http://schemas.openxmlformats.org/officeDocument/2006/relationships/chart" Target="charts/chart11.xml"/><Relationship Id="rId41" Type="http://schemas.openxmlformats.org/officeDocument/2006/relationships/chart" Target="charts/chart31.xml"/><Relationship Id="rId54" Type="http://schemas.openxmlformats.org/officeDocument/2006/relationships/chart" Target="charts/chart44.xml"/><Relationship Id="rId62" Type="http://schemas.openxmlformats.org/officeDocument/2006/relationships/chart" Target="charts/chart52.xml"/><Relationship Id="rId70" Type="http://schemas.openxmlformats.org/officeDocument/2006/relationships/chart" Target="charts/chart60.xml"/><Relationship Id="rId75" Type="http://schemas.openxmlformats.org/officeDocument/2006/relationships/chart" Target="charts/chart65.xml"/><Relationship Id="rId83" Type="http://schemas.openxmlformats.org/officeDocument/2006/relationships/chart" Target="charts/chart73.xml"/><Relationship Id="rId88" Type="http://schemas.openxmlformats.org/officeDocument/2006/relationships/chart" Target="charts/chart78.xml"/><Relationship Id="rId91" Type="http://schemas.openxmlformats.org/officeDocument/2006/relationships/chart" Target="charts/chart81.xml"/><Relationship Id="rId96" Type="http://schemas.openxmlformats.org/officeDocument/2006/relationships/chart" Target="charts/chart86.xm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39.xml"/><Relationship Id="rId57" Type="http://schemas.openxmlformats.org/officeDocument/2006/relationships/chart" Target="charts/chart47.xml"/><Relationship Id="rId106" Type="http://schemas.openxmlformats.org/officeDocument/2006/relationships/chart" Target="charts/chart96.xml"/><Relationship Id="rId10" Type="http://schemas.openxmlformats.org/officeDocument/2006/relationships/chart" Target="charts/chart2.xml"/><Relationship Id="rId31" Type="http://schemas.openxmlformats.org/officeDocument/2006/relationships/chart" Target="charts/chart22.xml"/><Relationship Id="rId44" Type="http://schemas.openxmlformats.org/officeDocument/2006/relationships/chart" Target="charts/chart34.xml"/><Relationship Id="rId52" Type="http://schemas.openxmlformats.org/officeDocument/2006/relationships/chart" Target="charts/chart42.xml"/><Relationship Id="rId60" Type="http://schemas.openxmlformats.org/officeDocument/2006/relationships/chart" Target="charts/chart50.xml"/><Relationship Id="rId65" Type="http://schemas.openxmlformats.org/officeDocument/2006/relationships/chart" Target="charts/chart55.xml"/><Relationship Id="rId73" Type="http://schemas.openxmlformats.org/officeDocument/2006/relationships/chart" Target="charts/chart63.xml"/><Relationship Id="rId78" Type="http://schemas.openxmlformats.org/officeDocument/2006/relationships/chart" Target="charts/chart68.xml"/><Relationship Id="rId81" Type="http://schemas.openxmlformats.org/officeDocument/2006/relationships/chart" Target="charts/chart71.xml"/><Relationship Id="rId86" Type="http://schemas.openxmlformats.org/officeDocument/2006/relationships/chart" Target="charts/chart76.xml"/><Relationship Id="rId94" Type="http://schemas.openxmlformats.org/officeDocument/2006/relationships/chart" Target="charts/chart84.xml"/><Relationship Id="rId99" Type="http://schemas.openxmlformats.org/officeDocument/2006/relationships/chart" Target="charts/chart89.xml"/><Relationship Id="rId101" Type="http://schemas.openxmlformats.org/officeDocument/2006/relationships/chart" Target="charts/chart91.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http://www.statswales.gov.uk" TargetMode="External"/><Relationship Id="rId39" Type="http://schemas.openxmlformats.org/officeDocument/2006/relationships/hyperlink" Target="http://www.statswales.gov.uk" TargetMode="External"/><Relationship Id="rId109" Type="http://schemas.openxmlformats.org/officeDocument/2006/relationships/chart" Target="charts/chart99.xml"/><Relationship Id="rId34" Type="http://schemas.openxmlformats.org/officeDocument/2006/relationships/chart" Target="charts/chart25.xml"/><Relationship Id="rId50" Type="http://schemas.openxmlformats.org/officeDocument/2006/relationships/chart" Target="charts/chart40.xml"/><Relationship Id="rId55" Type="http://schemas.openxmlformats.org/officeDocument/2006/relationships/chart" Target="charts/chart45.xml"/><Relationship Id="rId76" Type="http://schemas.openxmlformats.org/officeDocument/2006/relationships/chart" Target="charts/chart66.xml"/><Relationship Id="rId97" Type="http://schemas.openxmlformats.org/officeDocument/2006/relationships/chart" Target="charts/chart87.xml"/><Relationship Id="rId104" Type="http://schemas.openxmlformats.org/officeDocument/2006/relationships/chart" Target="charts/chart94.xml"/><Relationship Id="rId7" Type="http://schemas.openxmlformats.org/officeDocument/2006/relationships/endnotes" Target="endnotes.xml"/><Relationship Id="rId71" Type="http://schemas.openxmlformats.org/officeDocument/2006/relationships/chart" Target="charts/chart61.xml"/><Relationship Id="rId92" Type="http://schemas.openxmlformats.org/officeDocument/2006/relationships/chart" Target="charts/chart82.xml"/></Relationships>
</file>

<file path=word/charts/_rels/chart1.xml.rels><?xml version="1.0" encoding="UTF-8" standalone="yes"?>
<Relationships xmlns="http://schemas.openxmlformats.org/package/2006/relationships"><Relationship Id="rId1" Type="http://schemas.openxmlformats.org/officeDocument/2006/relationships/oleObject" Target="file:///\\nsf03sfs01\morgjan\Data%20Analysis%20Project\Final%20Report%20Published%20version\Gender\2007-200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Data%20Analysis%20Project\Final%20Report\Final%20version\Gender\Retention%20Trends%20By%20Gender.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Data%20Analysis%20Project\Final%20Report\Final%20version\Gender\Attainment%20Trends%20By%20Gender.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Data%20Analysis%20Project\Final%20Report\Final%20version\Gender\Success%20Trends%20By%20Gender.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Data%20Analysis%20Project\Final%20Report\Final%20version\Gender\Success%20Trends%20AC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Data%20Analysis%20Project\Final%20Report\Final%20version\Gender\Success%20Trends%20BTH.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Data%20Analysis%20Project\Final%20Report\Final%20version\Gender\Success%20Trends%20CBE.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Data%20Analysis%20Project\Final%20Report\Final%20version\Gender\Success%20Trends%20CIT.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Data%20Analysis%20Project\Final%20Report\Final%20version\Gender\Success%20Trends%20CVP.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Data%20Analysis%20Project\Final%20Report\Final%20version\Gender\Success%20Trends%20By%20Gender%20E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sf03sfs01\morgjan\Data%20Analysis%20Project\Final%20Report\Fianl%20version\Gender\Gender%20Analysis%202007-2008.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Data%20Analysis%20Project\Final%20Report\Final%20version\Gender\Success%20Trends%20Fac6Form.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Data%20Analysis%20Project\Final%20Report\Final%20version\Gender\Success%20Trends%20HAT.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Data%20Analysis%20Project\Final%20Report\Final%20version\Gender\Success%20Trends%20HSC.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E:\Data%20Analysis%20Project\Final%20Report\Final%20version\Gender\Succes%20Trends%20IBC.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E:\Data%20Analysis%20Project\Final%20Report\Final%20version\Gender\Success%20Trends%20IE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E:\Data%20Analysis%20Project\Final%20Report\Final%20version\Gender\Success%20Trends%20MA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E:\Data%20Analysis%20Project\Final%20Report\Final%20version\Gender\Success%20Trends%20by%20PV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E:\Data%20Analysis%20Project\Final%20Report\Final%20version\Gender\Success%20trends%20SP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E:\Data%20Analysis%20Project\Final%20Report\Final%20version\Gender\Success%20trends%20SSL.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E:\Data%20Analysis%20Project\Final%20Report\Final%20version\Gender\Success%20trends%20UF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ata%20Analysis%20Project\Final%20Report\Final%20version\Gender\Gender%20Success%20By%20School%202007-2008.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E:\Data%20Analysis%20Project\Final%20Report\Final%20version\Ethnicity\Success%20Males%202007-2008.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E:\Data%20Analysis%20Project\Final%20Report\Final%20version\Ethnicity\Success%20Females%202007-2008.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E:\Data%20Analysis%20Project\Final%20Report\Final%20version\Ethnicity\Success%20Males%202008-2009.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E:\Data%20Analysis%20Project\Final%20Report\Final%20version\Ethnicity\Success%20Females%202008-2009.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E:\Data%20Analysis%20Project\Final%20Report\Final%20version\Ethnicity\Success%20Males%202009-201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E:\Data%20Analysis%20Project\Final%20Report\Final%20version\Ethnicity\Success%20Females%202009-201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E:\Data%20Analysis%20Project\Final%20Report\Final%20version\Ethnicity\Success%20-%20White.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E:\Data%20Analysis%20Project\Final%20Report\Final%20version\Ethnicity\Success%20-%20Black%20caribbean.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E:\Data%20Analysis%20Project\Final%20Report\Final%20version\Ethnicity\Success%20-%20Black%20African.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E:\Data%20Analysis%20Project\Final%20Report\Final%20version\Ethnicity\Success%20-%20otehr%20black%20backgroun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sf03sfs01\morgjan\Data%20Analysis%20Project\Final%20Report%20Published%20version\Gender\2008-2009.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E:\Data%20Analysis%20Project\Final%20Report\Final%20version\Ethnicity\Success%20-%20Asian%20Indian.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nsf03sfs01\morgjan\Data%20Analysis%20Project\Final%20Report%20Published%20version\Ethnicity\Asian%20pakistani%20succes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nsf03sfs01\morgjan\Data%20Analysis%20Project\Final%20Report%20Published%20version\Ethnicity\Asian%20Bangladeshi%20success.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E:\Data%20Analysis%20Project\Final%20Report\Final%20version\Ethnicity\Success%20Chinese.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E:\Data%20Analysis%20Project\Final%20Report\Final%20version\Ethnicity\Success%20Mixed%20white%20and%20black%20caribbean.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E:\Data%20Analysis%20Project\Final%20Report\Final%20version\Ethnicity\Success%20Mixed%20white%20and%20black%20caribbean.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E:\Data%20Analysis%20Project\Final%20Report\Final%20version\Ethnicity\Success%20mixed%20white%20and%20asian.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E:\Data%20Analysis%20Project\Final%20Report\Final%20version\Ethnicity\Success%20other%20mixed%20background.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E:\Data%20Analysis%20Project\Final%20Report\Final%20version\Ethnicity\Success%20other%20ethnic%20background.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E:\Data%20Analysis%20Project\Final%20Report\Final%20version\Ethnicity\Success%20information%20refus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sf03sfs01\morgjan\Data%20Analysis%20Project\Final%20Report\Fianl%20version\Gender\Gender%20Success%20By%20School%202008-2009.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E:\Data%20Analysis%20Project\Final%20Report\Final%20version\Ethnicity\success%20ethnicity%20not%20known.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E:\Data%20Analysis%20Project\Final%20Report%20Published%20version\Disability\2007-2008%20distribution.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E:\Data%20Analysis%20Project\Final%20Report\Final%20version\Disability\Disability%20Analysis%20for%20Males%202007-20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E:\Data%20Analysis%20Project\Final%20Report\Final%20version\Disability\Disability%20Analysis%20for%20Females%202007-20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E:\Data%20Analysis%20Project\Final%20Report%20Published%20version\Disability\2008-2009%20distribution.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E:\Data%20Analysis%20Project\Final%20Report\Final%20version\Disability\Disability%20Analysis%20for%20Males%202008-2009.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nsf03sfs01\morgjan\Data%20Analysis%20Project\Final%20Report%20Published%20version\Disability\Females%202008-2009.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E:\Data%20Analysis%20Project\Final%20Report%20Published%20version\Disability\2009-2010%20distribution.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nsf03sfs01\morgjan\Data%20Analysis%20Project\Final%20Report%20Published%20version\Disability\Males%202009-2010.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nsf03sfs01\morgjan\Data%20Analysis%20Project\Final%20Report%20Published%20version\Disability\Males%202009-201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Data%20Analysis%20Project\Final%20Report\Final%20version\Gender\Gender%20Success%20By%20School%202008-2009.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E:\Data%20Analysis%20Project\Final%20Report\Final%20version\Welsh%20Speakers\percentage%20of%20enrolmenst%20from%20welsh%20speakers.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E:\Data%20Analysis%20Project\Final%20Report\Final%20version\Welsh%20Speakers\Male%20welsh%20speakes%202007-2008.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E:\Data%20Analysis%20Project\Final%20Report\Final%20version\Welsh%20Speakers\female%20welsh%20speakers%202007-2008.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E:\Data%20Analysis%20Project\Final%20Report\Final%20version\Welsh%20Speakers\male%20welsh%20speakers%202008-2009.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E:\Data%20Analysis%20Project\Final%20Report\Final%20version\Welsh%20Speakers\female%20welsh%20speakers%202008-2009.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E:\Data%20Analysis%20Project\Final%20Report\Final%20version\Welsh%20Speakers\male%20welsh%20speakers%202009-201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E:\Data%20Analysis%20Project\Final%20Report\Final%20version\Welsh%20Speakers\female%20welsh%20speakers%202009-2010.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Book4"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E:\Data%20Analysis%20Project\Final%20Report\Final%20version\Communities%20First\communities%20first%20analysis%202007-2008.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E:\Data%20Analysis%20Project\Final%20Report\Final%20version\Communities%20First\enrolments%202008-200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nsf03sfs01\morgjan\Data%20Analysis%20Project\Final%20Report%20Published%20version\Gender\2009-10.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E:\Data%20Analysis%20Project\Final%20Report\Final%20version\Communities%20First\communities%20first%20analysis%202008-2009.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E:\Data%20Analysis%20Project\Final%20Report\Final%20version\Communities%20First\enrolments%202009-2010.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E:\Data%20Analysis%20Project\Final%20Report\Final%20version\Communities%20First\communities%20first%20analysis%202009-2010.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E:\Data%20Analysis%20Project\Final%20Report\Final%20version\Communities%20First\retention%20trend.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E:\Data%20Analysis%20Project\Final%20Report\Final%20version\Communities%20First\attainment%20trends.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E:\Data%20Analysis%20Project\Final%20Report\Final%20version\Communities%20First\success%20trends.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E:\Data%20Analysis%20Project\Final%20Report\Final%20version\Communities%20First\Success%20ACE.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E:\Data%20Analysis%20Project\Final%20Report\Final%20version\Communities%20First\Success%20AE.xlsx"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E:\Data%20Analysis%20Project\Final%20Report\Final%20version\Communities%20First\Success%20BTH.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E:\Data%20Analysis%20Project\Final%20Report\Final%20version\Communities%20First\Success%20CB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Data%20Analysis%20Project\Final%20Report\Final%20version\Gender\Gender%20Analysis%202009-2010.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E:\Data%20Analysis%20Project\Final%20Report\Final%20version\Communities%20First\Success%20CIT.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E:\Data%20Analysis%20Project\Final%20Report\Final%20version\Communities%20First\Success%20CVP.xlsx"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E:\Data%20Analysis%20Project\Final%20Report\Final%20version\Communities%20First\Success%20ENG.xlsx"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E:\Data%20Analysis%20Project\Final%20Report\Final%20version\Communities%20First\Success%20Fac6Form.xlsx"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E:\Data%20Analysis%20Project\Final%20Report\Final%20version\Communities%20First\Success%20HAT.xlsx" TargetMode="External"/></Relationships>
</file>

<file path=word/charts/_rels/chart85.xml.rels><?xml version="1.0" encoding="UTF-8" standalone="yes"?>
<Relationships xmlns="http://schemas.openxmlformats.org/package/2006/relationships"><Relationship Id="rId1" Type="http://schemas.openxmlformats.org/officeDocument/2006/relationships/oleObject" Target="file:///E:\Data%20Analysis%20Project\Final%20Report\Final%20version\Communities%20First\Success%20HSC.xlsx" TargetMode="External"/></Relationships>
</file>

<file path=word/charts/_rels/chart86.xml.rels><?xml version="1.0" encoding="UTF-8" standalone="yes"?>
<Relationships xmlns="http://schemas.openxmlformats.org/package/2006/relationships"><Relationship Id="rId1" Type="http://schemas.openxmlformats.org/officeDocument/2006/relationships/oleObject" Target="file:///E:\Data%20Analysis%20Project\Final%20Report\Final%20version\Communities%20First\Success%20IBC.xlsx" TargetMode="External"/></Relationships>
</file>

<file path=word/charts/_rels/chart87.xml.rels><?xml version="1.0" encoding="UTF-8" standalone="yes"?>
<Relationships xmlns="http://schemas.openxmlformats.org/package/2006/relationships"><Relationship Id="rId1" Type="http://schemas.openxmlformats.org/officeDocument/2006/relationships/oleObject" Target="file:///E:\Data%20Analysis%20Project\Final%20Report\Final%20version\Communities%20First\Success%20IES.xlsx" TargetMode="External"/></Relationships>
</file>

<file path=word/charts/_rels/chart88.xml.rels><?xml version="1.0" encoding="UTF-8" standalone="yes"?>
<Relationships xmlns="http://schemas.openxmlformats.org/package/2006/relationships"><Relationship Id="rId1" Type="http://schemas.openxmlformats.org/officeDocument/2006/relationships/oleObject" Target="file:///E:\Data%20Analysis%20Project\Final%20Report\Final%20version\Communities%20First\Success%20MAS.xlsx" TargetMode="External"/></Relationships>
</file>

<file path=word/charts/_rels/chart89.xml.rels><?xml version="1.0" encoding="UTF-8" standalone="yes"?>
<Relationships xmlns="http://schemas.openxmlformats.org/package/2006/relationships"><Relationship Id="rId1" Type="http://schemas.openxmlformats.org/officeDocument/2006/relationships/oleObject" Target="file:///E:\Data%20Analysis%20Project\Final%20Report\Final%20version\Communities%20First\Success%20PV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Data%20Analysis%20Project\Final%20Report\Final%20version\Gender\Gender%20Success%20By%20School%202009-2010.xlsx" TargetMode="External"/></Relationships>
</file>

<file path=word/charts/_rels/chart90.xml.rels><?xml version="1.0" encoding="UTF-8" standalone="yes"?>
<Relationships xmlns="http://schemas.openxmlformats.org/package/2006/relationships"><Relationship Id="rId1" Type="http://schemas.openxmlformats.org/officeDocument/2006/relationships/oleObject" Target="file:///E:\Data%20Analysis%20Project\Final%20Report\Final%20version\Communities%20First\Success%20SPS.xlsx" TargetMode="External"/></Relationships>
</file>

<file path=word/charts/_rels/chart91.xml.rels><?xml version="1.0" encoding="UTF-8" standalone="yes"?>
<Relationships xmlns="http://schemas.openxmlformats.org/package/2006/relationships"><Relationship Id="rId1" Type="http://schemas.openxmlformats.org/officeDocument/2006/relationships/oleObject" Target="file:///E:\Data%20Analysis%20Project\Final%20Report\Final%20version\Communities%20First\Success%20SSL.xlsx" TargetMode="External"/></Relationships>
</file>

<file path=word/charts/_rels/chart92.xml.rels><?xml version="1.0" encoding="UTF-8" standalone="yes"?>
<Relationships xmlns="http://schemas.openxmlformats.org/package/2006/relationships"><Relationship Id="rId1" Type="http://schemas.openxmlformats.org/officeDocument/2006/relationships/oleObject" Target="file:///E:\Data%20Analysis%20Project\Final%20Report\Final%20version\Communities%20First\Success%20UFI.xlsx" TargetMode="External"/></Relationships>
</file>

<file path=word/charts/_rels/chart93.xml.rels><?xml version="1.0" encoding="UTF-8" standalone="yes"?>
<Relationships xmlns="http://schemas.openxmlformats.org/package/2006/relationships"><Relationship Id="rId1" Type="http://schemas.openxmlformats.org/officeDocument/2006/relationships/oleObject" Target="file:///\\nsf03sfs01\morgjan\Data%20Analysis%20Project\Final%20Report%20Published%20version\Free%20meals\males.xlsx" TargetMode="External"/></Relationships>
</file>

<file path=word/charts/_rels/chart94.xml.rels><?xml version="1.0" encoding="UTF-8" standalone="yes"?>
<Relationships xmlns="http://schemas.openxmlformats.org/package/2006/relationships"><Relationship Id="rId1" Type="http://schemas.openxmlformats.org/officeDocument/2006/relationships/oleObject" Target="file:///E:\Data%20Analysis%20Project\Final%20Report\Final%20version\Free%20meals\female%20retention%20attainment%20and%20success.xlsx" TargetMode="External"/></Relationships>
</file>

<file path=word/charts/_rels/chart95.xml.rels><?xml version="1.0" encoding="UTF-8" standalone="yes"?>
<Relationships xmlns="http://schemas.openxmlformats.org/package/2006/relationships"><Relationship Id="rId1" Type="http://schemas.openxmlformats.org/officeDocument/2006/relationships/oleObject" Target="file:///E:\Data%20Analysis%20Project\Final%20Report\Final%20version\Free%20meals\retention%20attainment%20and%20success%20of%20all%20learners.xlsx" TargetMode="External"/></Relationships>
</file>

<file path=word/charts/_rels/chart96.xml.rels><?xml version="1.0" encoding="UTF-8" standalone="yes"?>
<Relationships xmlns="http://schemas.openxmlformats.org/package/2006/relationships"><Relationship Id="rId1" Type="http://schemas.openxmlformats.org/officeDocument/2006/relationships/oleObject" Target="file:///\\nsf03sfs01\morgjan\Data%20Analysis%20Project\Final%20Report%20Published%20version\Criminal%20Convictions%20Males\Males%20with%20compared%20to%20males%20without.xlsx" TargetMode="External"/></Relationships>
</file>

<file path=word/charts/_rels/chart97.xml.rels><?xml version="1.0" encoding="UTF-8" standalone="yes"?>
<Relationships xmlns="http://schemas.openxmlformats.org/package/2006/relationships"><Relationship Id="rId1" Type="http://schemas.openxmlformats.org/officeDocument/2006/relationships/oleObject" Target="file:///\\nsf03sfs01\morgjan\Data%20Analysis%20Project\Final%20Report%20Published%20version\Criminal%20Convictions%20Females\Females%20with%20compared%20to%20females%20without.xlsx" TargetMode="External"/></Relationships>
</file>

<file path=word/charts/_rels/chart98.xml.rels><?xml version="1.0" encoding="UTF-8" standalone="yes"?>
<Relationships xmlns="http://schemas.openxmlformats.org/package/2006/relationships"><Relationship Id="rId1" Type="http://schemas.openxmlformats.org/officeDocument/2006/relationships/oleObject" Target="file:///\\nsf03sfs01\morgjan\Data%20Analysis%20Project\Final%20Report%20Published%20version\Criminal%20Convictions%20all%20learners\comparison%20of%20all%20learners.xlsx" TargetMode="External"/></Relationships>
</file>

<file path=word/charts/_rels/chart99.xml.rels><?xml version="1.0" encoding="UTF-8" standalone="yes"?>
<Relationships xmlns="http://schemas.openxmlformats.org/package/2006/relationships"><Relationship Id="rId1" Type="http://schemas.openxmlformats.org/officeDocument/2006/relationships/oleObject" Target="file:///\\nsf03sfs01\morgjan\Data%20Analysis%20Project\Final%20Report%20Published%20version\Criminal%20Convictions%20all%20learners\comparison%20of%20all%20learn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baseline="0"/>
              <a:t>Gender Distribution by School</a:t>
            </a:r>
          </a:p>
          <a:p>
            <a:pPr>
              <a:defRPr/>
            </a:pPr>
            <a:r>
              <a:rPr lang="en-GB" baseline="0"/>
              <a:t>2007-2008</a:t>
            </a:r>
          </a:p>
          <a:p>
            <a:pPr>
              <a:defRPr/>
            </a:pPr>
            <a:endParaRPr lang="en-GB"/>
          </a:p>
        </c:rich>
      </c:tx>
      <c:layout/>
    </c:title>
    <c:plotArea>
      <c:layout/>
      <c:barChart>
        <c:barDir val="bar"/>
        <c:grouping val="clustered"/>
        <c:ser>
          <c:idx val="0"/>
          <c:order val="0"/>
          <c:tx>
            <c:strRef>
              <c:f>Sheet1!$B$1</c:f>
              <c:strCache>
                <c:ptCount val="1"/>
                <c:pt idx="0">
                  <c:v>Males</c:v>
                </c:pt>
              </c:strCache>
            </c:strRef>
          </c:tx>
          <c:cat>
            <c:strRef>
              <c:f>Sheet1!$A$2:$A$18</c:f>
              <c:strCache>
                <c:ptCount val="17"/>
                <c:pt idx="0">
                  <c:v>ACE</c:v>
                </c:pt>
                <c:pt idx="1">
                  <c:v>AE</c:v>
                </c:pt>
                <c:pt idx="2">
                  <c:v>CBE</c:v>
                </c:pt>
                <c:pt idx="3">
                  <c:v>BTH</c:v>
                </c:pt>
                <c:pt idx="4">
                  <c:v>CIT</c:v>
                </c:pt>
                <c:pt idx="5">
                  <c:v>CVP</c:v>
                </c:pt>
                <c:pt idx="6">
                  <c:v>ENG</c:v>
                </c:pt>
                <c:pt idx="7">
                  <c:v>HAT</c:v>
                </c:pt>
                <c:pt idx="8">
                  <c:v>HSC</c:v>
                </c:pt>
                <c:pt idx="9">
                  <c:v>PWT</c:v>
                </c:pt>
                <c:pt idx="10">
                  <c:v>IBC</c:v>
                </c:pt>
                <c:pt idx="11">
                  <c:v>IES</c:v>
                </c:pt>
                <c:pt idx="12">
                  <c:v>MAS</c:v>
                </c:pt>
                <c:pt idx="13">
                  <c:v>PVS</c:v>
                </c:pt>
                <c:pt idx="14">
                  <c:v>SPS</c:v>
                </c:pt>
                <c:pt idx="15">
                  <c:v>SSL</c:v>
                </c:pt>
                <c:pt idx="16">
                  <c:v>UFI</c:v>
                </c:pt>
              </c:strCache>
            </c:strRef>
          </c:cat>
          <c:val>
            <c:numRef>
              <c:f>Sheet1!$B$2:$B$18</c:f>
              <c:numCache>
                <c:formatCode>General</c:formatCode>
                <c:ptCount val="17"/>
                <c:pt idx="0">
                  <c:v>30.9</c:v>
                </c:pt>
                <c:pt idx="1">
                  <c:v>29.6</c:v>
                </c:pt>
                <c:pt idx="2">
                  <c:v>98.4</c:v>
                </c:pt>
                <c:pt idx="3">
                  <c:v>34</c:v>
                </c:pt>
                <c:pt idx="4">
                  <c:v>55.9</c:v>
                </c:pt>
                <c:pt idx="5">
                  <c:v>53.2</c:v>
                </c:pt>
                <c:pt idx="6">
                  <c:v>97.9</c:v>
                </c:pt>
                <c:pt idx="7">
                  <c:v>12.3</c:v>
                </c:pt>
                <c:pt idx="8">
                  <c:v>3.4</c:v>
                </c:pt>
                <c:pt idx="9">
                  <c:v>0</c:v>
                </c:pt>
                <c:pt idx="10">
                  <c:v>50.3</c:v>
                </c:pt>
                <c:pt idx="11">
                  <c:v>31.6</c:v>
                </c:pt>
                <c:pt idx="12">
                  <c:v>60.1</c:v>
                </c:pt>
                <c:pt idx="13">
                  <c:v>52.3</c:v>
                </c:pt>
                <c:pt idx="14">
                  <c:v>62.5</c:v>
                </c:pt>
                <c:pt idx="15">
                  <c:v>33.200000000000003</c:v>
                </c:pt>
                <c:pt idx="16">
                  <c:v>27.8</c:v>
                </c:pt>
              </c:numCache>
            </c:numRef>
          </c:val>
        </c:ser>
        <c:ser>
          <c:idx val="1"/>
          <c:order val="1"/>
          <c:tx>
            <c:strRef>
              <c:f>Sheet1!$C$1</c:f>
              <c:strCache>
                <c:ptCount val="1"/>
                <c:pt idx="0">
                  <c:v>Females</c:v>
                </c:pt>
              </c:strCache>
            </c:strRef>
          </c:tx>
          <c:cat>
            <c:strRef>
              <c:f>Sheet1!$A$2:$A$18</c:f>
              <c:strCache>
                <c:ptCount val="17"/>
                <c:pt idx="0">
                  <c:v>ACE</c:v>
                </c:pt>
                <c:pt idx="1">
                  <c:v>AE</c:v>
                </c:pt>
                <c:pt idx="2">
                  <c:v>CBE</c:v>
                </c:pt>
                <c:pt idx="3">
                  <c:v>BTH</c:v>
                </c:pt>
                <c:pt idx="4">
                  <c:v>CIT</c:v>
                </c:pt>
                <c:pt idx="5">
                  <c:v>CVP</c:v>
                </c:pt>
                <c:pt idx="6">
                  <c:v>ENG</c:v>
                </c:pt>
                <c:pt idx="7">
                  <c:v>HAT</c:v>
                </c:pt>
                <c:pt idx="8">
                  <c:v>HSC</c:v>
                </c:pt>
                <c:pt idx="9">
                  <c:v>PWT</c:v>
                </c:pt>
                <c:pt idx="10">
                  <c:v>IBC</c:v>
                </c:pt>
                <c:pt idx="11">
                  <c:v>IES</c:v>
                </c:pt>
                <c:pt idx="12">
                  <c:v>MAS</c:v>
                </c:pt>
                <c:pt idx="13">
                  <c:v>PVS</c:v>
                </c:pt>
                <c:pt idx="14">
                  <c:v>SPS</c:v>
                </c:pt>
                <c:pt idx="15">
                  <c:v>SSL</c:v>
                </c:pt>
                <c:pt idx="16">
                  <c:v>UFI</c:v>
                </c:pt>
              </c:strCache>
            </c:strRef>
          </c:cat>
          <c:val>
            <c:numRef>
              <c:f>Sheet1!$C$2:$C$18</c:f>
              <c:numCache>
                <c:formatCode>General</c:formatCode>
                <c:ptCount val="17"/>
                <c:pt idx="0">
                  <c:v>69.099999999999994</c:v>
                </c:pt>
                <c:pt idx="1">
                  <c:v>70.400000000000006</c:v>
                </c:pt>
                <c:pt idx="2">
                  <c:v>1.6</c:v>
                </c:pt>
                <c:pt idx="3">
                  <c:v>66</c:v>
                </c:pt>
                <c:pt idx="4">
                  <c:v>44.1</c:v>
                </c:pt>
                <c:pt idx="5">
                  <c:v>46.8</c:v>
                </c:pt>
                <c:pt idx="6">
                  <c:v>2.1</c:v>
                </c:pt>
                <c:pt idx="7">
                  <c:v>87.7</c:v>
                </c:pt>
                <c:pt idx="8">
                  <c:v>96.6</c:v>
                </c:pt>
                <c:pt idx="9">
                  <c:v>100</c:v>
                </c:pt>
                <c:pt idx="10">
                  <c:v>49.7</c:v>
                </c:pt>
                <c:pt idx="11">
                  <c:v>68.400000000000006</c:v>
                </c:pt>
                <c:pt idx="12">
                  <c:v>39.9</c:v>
                </c:pt>
                <c:pt idx="13">
                  <c:v>47.7</c:v>
                </c:pt>
                <c:pt idx="14">
                  <c:v>37.5</c:v>
                </c:pt>
                <c:pt idx="15">
                  <c:v>66.8</c:v>
                </c:pt>
                <c:pt idx="16">
                  <c:v>72.2</c:v>
                </c:pt>
              </c:numCache>
            </c:numRef>
          </c:val>
        </c:ser>
        <c:axId val="172889984"/>
        <c:axId val="175956352"/>
      </c:barChart>
      <c:catAx>
        <c:axId val="172889984"/>
        <c:scaling>
          <c:orientation val="minMax"/>
        </c:scaling>
        <c:axPos val="l"/>
        <c:title>
          <c:tx>
            <c:rich>
              <a:bodyPr rot="-5400000" vert="horz"/>
              <a:lstStyle/>
              <a:p>
                <a:pPr>
                  <a:defRPr/>
                </a:pPr>
                <a:r>
                  <a:rPr lang="en-GB"/>
                  <a:t>School</a:t>
                </a:r>
                <a:r>
                  <a:rPr lang="en-GB" baseline="0"/>
                  <a:t> </a:t>
                </a:r>
                <a:endParaRPr lang="en-GB"/>
              </a:p>
            </c:rich>
          </c:tx>
          <c:layout/>
        </c:title>
        <c:tickLblPos val="nextTo"/>
        <c:crossAx val="175956352"/>
        <c:crosses val="autoZero"/>
        <c:auto val="1"/>
        <c:lblAlgn val="ctr"/>
        <c:lblOffset val="100"/>
      </c:catAx>
      <c:valAx>
        <c:axId val="175956352"/>
        <c:scaling>
          <c:orientation val="minMax"/>
        </c:scaling>
        <c:axPos val="b"/>
        <c:majorGridlines/>
        <c:title>
          <c:tx>
            <c:rich>
              <a:bodyPr/>
              <a:lstStyle/>
              <a:p>
                <a:pPr>
                  <a:defRPr/>
                </a:pPr>
                <a:r>
                  <a:rPr lang="en-GB"/>
                  <a:t>Percentage</a:t>
                </a:r>
                <a:r>
                  <a:rPr lang="en-GB" baseline="0"/>
                  <a:t> % </a:t>
                </a:r>
                <a:endParaRPr lang="en-GB"/>
              </a:p>
            </c:rich>
          </c:tx>
          <c:layout/>
        </c:title>
        <c:numFmt formatCode="General" sourceLinked="1"/>
        <c:tickLblPos val="nextTo"/>
        <c:crossAx val="172889984"/>
        <c:crosses val="autoZero"/>
        <c:crossBetween val="between"/>
      </c:valAx>
    </c:plotArea>
    <c:legend>
      <c:legendPos val="r"/>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style val="44"/>
  <c:chart>
    <c:title>
      <c:tx>
        <c:rich>
          <a:bodyPr/>
          <a:lstStyle/>
          <a:p>
            <a:pPr>
              <a:defRPr/>
            </a:pPr>
            <a:r>
              <a:rPr lang="en-GB"/>
              <a:t>Retention</a:t>
            </a:r>
            <a:r>
              <a:rPr lang="en-GB" baseline="0"/>
              <a:t> Trend by Gender</a:t>
            </a:r>
            <a:endParaRPr lang="en-GB"/>
          </a:p>
        </c:rich>
      </c:tx>
    </c:title>
    <c:plotArea>
      <c:layout/>
      <c:lineChart>
        <c:grouping val="standard"/>
        <c:ser>
          <c:idx val="0"/>
          <c:order val="0"/>
          <c:tx>
            <c:strRef>
              <c:f>Sheet1!$A$3</c:f>
              <c:strCache>
                <c:ptCount val="1"/>
                <c:pt idx="0">
                  <c:v>Males</c:v>
                </c:pt>
              </c:strCache>
            </c:strRef>
          </c:tx>
          <c:marker>
            <c:symbol val="none"/>
          </c:marker>
          <c:cat>
            <c:strRef>
              <c:f>Sheet1!$B$2:$D$2</c:f>
              <c:strCache>
                <c:ptCount val="3"/>
                <c:pt idx="0">
                  <c:v>2007-2008</c:v>
                </c:pt>
                <c:pt idx="1">
                  <c:v>2008-2009</c:v>
                </c:pt>
                <c:pt idx="2">
                  <c:v>2009-2010</c:v>
                </c:pt>
              </c:strCache>
            </c:strRef>
          </c:cat>
          <c:val>
            <c:numRef>
              <c:f>Sheet1!$B$3:$D$3</c:f>
              <c:numCache>
                <c:formatCode>General</c:formatCode>
                <c:ptCount val="3"/>
                <c:pt idx="0">
                  <c:v>97.4</c:v>
                </c:pt>
                <c:pt idx="1">
                  <c:v>98.7</c:v>
                </c:pt>
                <c:pt idx="2">
                  <c:v>91</c:v>
                </c:pt>
              </c:numCache>
            </c:numRef>
          </c:val>
        </c:ser>
        <c:ser>
          <c:idx val="1"/>
          <c:order val="1"/>
          <c:tx>
            <c:strRef>
              <c:f>Sheet1!$A$4</c:f>
              <c:strCache>
                <c:ptCount val="1"/>
                <c:pt idx="0">
                  <c:v>Females</c:v>
                </c:pt>
              </c:strCache>
            </c:strRef>
          </c:tx>
          <c:marker>
            <c:symbol val="none"/>
          </c:marker>
          <c:cat>
            <c:strRef>
              <c:f>Sheet1!$B$2:$D$2</c:f>
              <c:strCache>
                <c:ptCount val="3"/>
                <c:pt idx="0">
                  <c:v>2007-2008</c:v>
                </c:pt>
                <c:pt idx="1">
                  <c:v>2008-2009</c:v>
                </c:pt>
                <c:pt idx="2">
                  <c:v>2009-2010</c:v>
                </c:pt>
              </c:strCache>
            </c:strRef>
          </c:cat>
          <c:val>
            <c:numRef>
              <c:f>Sheet1!$B$4:$D$4</c:f>
              <c:numCache>
                <c:formatCode>General</c:formatCode>
                <c:ptCount val="3"/>
                <c:pt idx="0">
                  <c:v>97.9</c:v>
                </c:pt>
                <c:pt idx="1">
                  <c:v>98.2</c:v>
                </c:pt>
                <c:pt idx="2">
                  <c:v>90.6</c:v>
                </c:pt>
              </c:numCache>
            </c:numRef>
          </c:val>
        </c:ser>
        <c:marker val="1"/>
        <c:axId val="91683456"/>
        <c:axId val="107922176"/>
      </c:lineChart>
      <c:catAx>
        <c:axId val="91683456"/>
        <c:scaling>
          <c:orientation val="minMax"/>
        </c:scaling>
        <c:axPos val="b"/>
        <c:title>
          <c:tx>
            <c:rich>
              <a:bodyPr/>
              <a:lstStyle/>
              <a:p>
                <a:pPr>
                  <a:defRPr/>
                </a:pPr>
                <a:r>
                  <a:rPr lang="en-GB"/>
                  <a:t>Academic</a:t>
                </a:r>
                <a:r>
                  <a:rPr lang="en-GB" baseline="0"/>
                  <a:t> Year</a:t>
                </a:r>
                <a:endParaRPr lang="en-GB"/>
              </a:p>
            </c:rich>
          </c:tx>
        </c:title>
        <c:tickLblPos val="nextTo"/>
        <c:crossAx val="107922176"/>
        <c:crosses val="autoZero"/>
        <c:auto val="1"/>
        <c:lblAlgn val="ctr"/>
        <c:lblOffset val="100"/>
      </c:catAx>
      <c:valAx>
        <c:axId val="107922176"/>
        <c:scaling>
          <c:orientation val="minMax"/>
        </c:scaling>
        <c:axPos val="l"/>
        <c:majorGridlines/>
        <c:title>
          <c:tx>
            <c:rich>
              <a:bodyPr rot="-5400000" vert="horz"/>
              <a:lstStyle/>
              <a:p>
                <a:pPr>
                  <a:defRPr/>
                </a:pPr>
                <a:r>
                  <a:rPr lang="en-GB" baseline="0"/>
                  <a:t> Retention %</a:t>
                </a:r>
                <a:endParaRPr lang="en-GB"/>
              </a:p>
            </c:rich>
          </c:tx>
        </c:title>
        <c:numFmt formatCode="General" sourceLinked="1"/>
        <c:tickLblPos val="nextTo"/>
        <c:crossAx val="91683456"/>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Attainment</a:t>
            </a:r>
            <a:r>
              <a:rPr lang="en-GB" baseline="0"/>
              <a:t> Trend by Gender</a:t>
            </a:r>
            <a:endParaRPr lang="en-GB"/>
          </a:p>
        </c:rich>
      </c:tx>
    </c:title>
    <c:plotArea>
      <c:layout/>
      <c:lineChart>
        <c:grouping val="standard"/>
        <c:ser>
          <c:idx val="0"/>
          <c:order val="0"/>
          <c:tx>
            <c:strRef>
              <c:f>Sheet1!$A$3</c:f>
              <c:strCache>
                <c:ptCount val="1"/>
                <c:pt idx="0">
                  <c:v>Males</c:v>
                </c:pt>
              </c:strCache>
            </c:strRef>
          </c:tx>
          <c:marker>
            <c:symbol val="none"/>
          </c:marker>
          <c:cat>
            <c:strRef>
              <c:f>Sheet1!$B$2:$D$2</c:f>
              <c:strCache>
                <c:ptCount val="3"/>
                <c:pt idx="0">
                  <c:v>2007-2008</c:v>
                </c:pt>
                <c:pt idx="1">
                  <c:v>2008-2009</c:v>
                </c:pt>
                <c:pt idx="2">
                  <c:v>2009-2010</c:v>
                </c:pt>
              </c:strCache>
            </c:strRef>
          </c:cat>
          <c:val>
            <c:numRef>
              <c:f>Sheet1!$B$3:$D$3</c:f>
              <c:numCache>
                <c:formatCode>General</c:formatCode>
                <c:ptCount val="3"/>
                <c:pt idx="0">
                  <c:v>61.2</c:v>
                </c:pt>
                <c:pt idx="1">
                  <c:v>76</c:v>
                </c:pt>
                <c:pt idx="2">
                  <c:v>82.2</c:v>
                </c:pt>
              </c:numCache>
            </c:numRef>
          </c:val>
        </c:ser>
        <c:ser>
          <c:idx val="1"/>
          <c:order val="1"/>
          <c:tx>
            <c:strRef>
              <c:f>Sheet1!$A$4</c:f>
              <c:strCache>
                <c:ptCount val="1"/>
                <c:pt idx="0">
                  <c:v>Females</c:v>
                </c:pt>
              </c:strCache>
            </c:strRef>
          </c:tx>
          <c:marker>
            <c:symbol val="none"/>
          </c:marker>
          <c:cat>
            <c:strRef>
              <c:f>Sheet1!$B$2:$D$2</c:f>
              <c:strCache>
                <c:ptCount val="3"/>
                <c:pt idx="0">
                  <c:v>2007-2008</c:v>
                </c:pt>
                <c:pt idx="1">
                  <c:v>2008-2009</c:v>
                </c:pt>
                <c:pt idx="2">
                  <c:v>2009-2010</c:v>
                </c:pt>
              </c:strCache>
            </c:strRef>
          </c:cat>
          <c:val>
            <c:numRef>
              <c:f>Sheet1!$B$4:$D$4</c:f>
              <c:numCache>
                <c:formatCode>General</c:formatCode>
                <c:ptCount val="3"/>
                <c:pt idx="0">
                  <c:v>67.400000000000006</c:v>
                </c:pt>
                <c:pt idx="1">
                  <c:v>76.099999999999994</c:v>
                </c:pt>
                <c:pt idx="2">
                  <c:v>81.599999999999994</c:v>
                </c:pt>
              </c:numCache>
            </c:numRef>
          </c:val>
        </c:ser>
        <c:marker val="1"/>
        <c:axId val="108062208"/>
        <c:axId val="108064128"/>
      </c:lineChart>
      <c:catAx>
        <c:axId val="108062208"/>
        <c:scaling>
          <c:orientation val="minMax"/>
        </c:scaling>
        <c:axPos val="b"/>
        <c:title>
          <c:tx>
            <c:rich>
              <a:bodyPr/>
              <a:lstStyle/>
              <a:p>
                <a:pPr>
                  <a:defRPr/>
                </a:pPr>
                <a:r>
                  <a:rPr lang="en-GB"/>
                  <a:t>Academic</a:t>
                </a:r>
                <a:r>
                  <a:rPr lang="en-GB" baseline="0"/>
                  <a:t> Year</a:t>
                </a:r>
                <a:endParaRPr lang="en-GB"/>
              </a:p>
            </c:rich>
          </c:tx>
        </c:title>
        <c:tickLblPos val="nextTo"/>
        <c:crossAx val="108064128"/>
        <c:crosses val="autoZero"/>
        <c:auto val="1"/>
        <c:lblAlgn val="ctr"/>
        <c:lblOffset val="100"/>
      </c:catAx>
      <c:valAx>
        <c:axId val="108064128"/>
        <c:scaling>
          <c:orientation val="minMax"/>
        </c:scaling>
        <c:axPos val="l"/>
        <c:majorGridlines/>
        <c:title>
          <c:tx>
            <c:rich>
              <a:bodyPr rot="-5400000" vert="horz"/>
              <a:lstStyle/>
              <a:p>
                <a:pPr>
                  <a:defRPr/>
                </a:pPr>
                <a:r>
                  <a:rPr lang="en-GB" baseline="0"/>
                  <a:t> Attainment %</a:t>
                </a:r>
                <a:endParaRPr lang="en-GB"/>
              </a:p>
            </c:rich>
          </c:tx>
        </c:title>
        <c:numFmt formatCode="General" sourceLinked="1"/>
        <c:tickLblPos val="nextTo"/>
        <c:crossAx val="108062208"/>
        <c:crosses val="autoZero"/>
        <c:crossBetween val="between"/>
      </c:valAx>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Trend by Gender</a:t>
            </a:r>
            <a:endParaRPr lang="en-GB"/>
          </a:p>
        </c:rich>
      </c:tx>
    </c:title>
    <c:plotArea>
      <c:layout/>
      <c:lineChart>
        <c:grouping val="standard"/>
        <c:ser>
          <c:idx val="0"/>
          <c:order val="0"/>
          <c:tx>
            <c:strRef>
              <c:f>Sheet1!$A$3</c:f>
              <c:strCache>
                <c:ptCount val="1"/>
                <c:pt idx="0">
                  <c:v>Males</c:v>
                </c:pt>
              </c:strCache>
            </c:strRef>
          </c:tx>
          <c:marker>
            <c:symbol val="none"/>
          </c:marker>
          <c:cat>
            <c:strRef>
              <c:f>Sheet1!$B$2:$D$2</c:f>
              <c:strCache>
                <c:ptCount val="3"/>
                <c:pt idx="0">
                  <c:v>2007-2008</c:v>
                </c:pt>
                <c:pt idx="1">
                  <c:v>2008-2009</c:v>
                </c:pt>
                <c:pt idx="2">
                  <c:v>2009-2010</c:v>
                </c:pt>
              </c:strCache>
            </c:strRef>
          </c:cat>
          <c:val>
            <c:numRef>
              <c:f>Sheet1!$B$3:$D$3</c:f>
              <c:numCache>
                <c:formatCode>General</c:formatCode>
                <c:ptCount val="3"/>
                <c:pt idx="0">
                  <c:v>59.6</c:v>
                </c:pt>
                <c:pt idx="1">
                  <c:v>75</c:v>
                </c:pt>
                <c:pt idx="2">
                  <c:v>74.8</c:v>
                </c:pt>
              </c:numCache>
            </c:numRef>
          </c:val>
        </c:ser>
        <c:ser>
          <c:idx val="1"/>
          <c:order val="1"/>
          <c:tx>
            <c:strRef>
              <c:f>Sheet1!$A$4</c:f>
              <c:strCache>
                <c:ptCount val="1"/>
                <c:pt idx="0">
                  <c:v>Females</c:v>
                </c:pt>
              </c:strCache>
            </c:strRef>
          </c:tx>
          <c:marker>
            <c:symbol val="none"/>
          </c:marker>
          <c:cat>
            <c:strRef>
              <c:f>Sheet1!$B$2:$D$2</c:f>
              <c:strCache>
                <c:ptCount val="3"/>
                <c:pt idx="0">
                  <c:v>2007-2008</c:v>
                </c:pt>
                <c:pt idx="1">
                  <c:v>2008-2009</c:v>
                </c:pt>
                <c:pt idx="2">
                  <c:v>2009-2010</c:v>
                </c:pt>
              </c:strCache>
            </c:strRef>
          </c:cat>
          <c:val>
            <c:numRef>
              <c:f>Sheet1!$B$4:$D$4</c:f>
              <c:numCache>
                <c:formatCode>General</c:formatCode>
                <c:ptCount val="3"/>
                <c:pt idx="0">
                  <c:v>66</c:v>
                </c:pt>
                <c:pt idx="1">
                  <c:v>74.7</c:v>
                </c:pt>
                <c:pt idx="2">
                  <c:v>73.900000000000006</c:v>
                </c:pt>
              </c:numCache>
            </c:numRef>
          </c:val>
        </c:ser>
        <c:marker val="1"/>
        <c:axId val="109396352"/>
        <c:axId val="109398272"/>
      </c:lineChart>
      <c:catAx>
        <c:axId val="109396352"/>
        <c:scaling>
          <c:orientation val="minMax"/>
        </c:scaling>
        <c:axPos val="b"/>
        <c:title>
          <c:tx>
            <c:rich>
              <a:bodyPr/>
              <a:lstStyle/>
              <a:p>
                <a:pPr>
                  <a:defRPr/>
                </a:pPr>
                <a:r>
                  <a:rPr lang="en-GB"/>
                  <a:t>Academic</a:t>
                </a:r>
                <a:r>
                  <a:rPr lang="en-GB" baseline="0"/>
                  <a:t> Year</a:t>
                </a:r>
                <a:endParaRPr lang="en-GB"/>
              </a:p>
            </c:rich>
          </c:tx>
        </c:title>
        <c:tickLblPos val="nextTo"/>
        <c:crossAx val="109398272"/>
        <c:crosses val="autoZero"/>
        <c:auto val="1"/>
        <c:lblAlgn val="ctr"/>
        <c:lblOffset val="100"/>
      </c:catAx>
      <c:valAx>
        <c:axId val="109398272"/>
        <c:scaling>
          <c:orientation val="minMax"/>
        </c:scaling>
        <c:axPos val="l"/>
        <c:majorGridlines/>
        <c:title>
          <c:tx>
            <c:rich>
              <a:bodyPr rot="-5400000" vert="horz"/>
              <a:lstStyle/>
              <a:p>
                <a:pPr>
                  <a:defRPr/>
                </a:pPr>
                <a:r>
                  <a:rPr lang="en-GB" baseline="0"/>
                  <a:t>Success %</a:t>
                </a:r>
                <a:endParaRPr lang="en-GB"/>
              </a:p>
            </c:rich>
          </c:tx>
        </c:title>
        <c:numFmt formatCode="General" sourceLinked="1"/>
        <c:tickLblPos val="nextTo"/>
        <c:crossAx val="109396352"/>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Trend by Gender (ACE)</a:t>
            </a:r>
            <a:endParaRPr lang="en-GB"/>
          </a:p>
        </c:rich>
      </c:tx>
    </c:title>
    <c:plotArea>
      <c:layout/>
      <c:lineChart>
        <c:grouping val="standard"/>
        <c:ser>
          <c:idx val="0"/>
          <c:order val="0"/>
          <c:tx>
            <c:strRef>
              <c:f>Sheet1!$A$5</c:f>
              <c:strCache>
                <c:ptCount val="1"/>
                <c:pt idx="0">
                  <c:v>Males</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68.3</c:v>
                </c:pt>
                <c:pt idx="1">
                  <c:v>78</c:v>
                </c:pt>
                <c:pt idx="2">
                  <c:v>76.5</c:v>
                </c:pt>
              </c:numCache>
            </c:numRef>
          </c:val>
        </c:ser>
        <c:ser>
          <c:idx val="1"/>
          <c:order val="1"/>
          <c:tx>
            <c:strRef>
              <c:f>Sheet1!$A$6</c:f>
              <c:strCache>
                <c:ptCount val="1"/>
                <c:pt idx="0">
                  <c:v>Females</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64.7</c:v>
                </c:pt>
                <c:pt idx="1">
                  <c:v>73.900000000000006</c:v>
                </c:pt>
                <c:pt idx="2">
                  <c:v>77.5</c:v>
                </c:pt>
              </c:numCache>
            </c:numRef>
          </c:val>
        </c:ser>
        <c:marker val="1"/>
        <c:axId val="109431808"/>
        <c:axId val="109433984"/>
      </c:lineChart>
      <c:catAx>
        <c:axId val="109431808"/>
        <c:scaling>
          <c:orientation val="minMax"/>
        </c:scaling>
        <c:axPos val="b"/>
        <c:title>
          <c:tx>
            <c:rich>
              <a:bodyPr/>
              <a:lstStyle/>
              <a:p>
                <a:pPr>
                  <a:defRPr/>
                </a:pPr>
                <a:r>
                  <a:rPr lang="en-GB"/>
                  <a:t>Academic</a:t>
                </a:r>
                <a:r>
                  <a:rPr lang="en-GB" baseline="0"/>
                  <a:t> Year</a:t>
                </a:r>
                <a:endParaRPr lang="en-GB"/>
              </a:p>
            </c:rich>
          </c:tx>
        </c:title>
        <c:tickLblPos val="nextTo"/>
        <c:crossAx val="109433984"/>
        <c:crosses val="autoZero"/>
        <c:auto val="1"/>
        <c:lblAlgn val="ctr"/>
        <c:lblOffset val="100"/>
      </c:catAx>
      <c:valAx>
        <c:axId val="109433984"/>
        <c:scaling>
          <c:orientation val="minMax"/>
        </c:scaling>
        <c:axPos val="l"/>
        <c:majorGridlines/>
        <c:title>
          <c:tx>
            <c:rich>
              <a:bodyPr rot="-5400000" vert="horz"/>
              <a:lstStyle/>
              <a:p>
                <a:pPr>
                  <a:defRPr/>
                </a:pPr>
                <a:r>
                  <a:rPr lang="en-GB" baseline="0"/>
                  <a:t>Success  % </a:t>
                </a:r>
                <a:endParaRPr lang="en-GB"/>
              </a:p>
            </c:rich>
          </c:tx>
        </c:title>
        <c:numFmt formatCode="General" sourceLinked="1"/>
        <c:tickLblPos val="nextTo"/>
        <c:crossAx val="109431808"/>
        <c:crosses val="autoZero"/>
        <c:crossBetween val="between"/>
      </c:valAx>
    </c:plotArea>
    <c:legend>
      <c:legendPos val="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Trend by Gender (AE)</a:t>
            </a:r>
            <a:endParaRPr lang="en-GB"/>
          </a:p>
        </c:rich>
      </c:tx>
    </c:title>
    <c:plotArea>
      <c:layout/>
      <c:lineChart>
        <c:grouping val="standard"/>
        <c:ser>
          <c:idx val="0"/>
          <c:order val="0"/>
          <c:tx>
            <c:strRef>
              <c:f>Sheet1!$B$5</c:f>
              <c:strCache>
                <c:ptCount val="1"/>
                <c:pt idx="0">
                  <c:v>Males</c:v>
                </c:pt>
              </c:strCache>
            </c:strRef>
          </c:tx>
          <c:marker>
            <c:symbol val="none"/>
          </c:marker>
          <c:cat>
            <c:strRef>
              <c:f>Sheet1!$C$3:$E$4</c:f>
              <c:strCache>
                <c:ptCount val="3"/>
                <c:pt idx="0">
                  <c:v>2007-2008</c:v>
                </c:pt>
                <c:pt idx="1">
                  <c:v>2008-2009</c:v>
                </c:pt>
                <c:pt idx="2">
                  <c:v>2009-2010</c:v>
                </c:pt>
              </c:strCache>
            </c:strRef>
          </c:cat>
          <c:val>
            <c:numRef>
              <c:f>Sheet1!$C$5:$E$5</c:f>
              <c:numCache>
                <c:formatCode>General</c:formatCode>
                <c:ptCount val="3"/>
                <c:pt idx="0">
                  <c:v>71.5</c:v>
                </c:pt>
                <c:pt idx="1">
                  <c:v>73.2</c:v>
                </c:pt>
                <c:pt idx="2">
                  <c:v>87.3</c:v>
                </c:pt>
              </c:numCache>
            </c:numRef>
          </c:val>
        </c:ser>
        <c:ser>
          <c:idx val="1"/>
          <c:order val="1"/>
          <c:tx>
            <c:strRef>
              <c:f>Sheet1!$B$6</c:f>
              <c:strCache>
                <c:ptCount val="1"/>
                <c:pt idx="0">
                  <c:v>Females</c:v>
                </c:pt>
              </c:strCache>
            </c:strRef>
          </c:tx>
          <c:marker>
            <c:symbol val="none"/>
          </c:marker>
          <c:cat>
            <c:strRef>
              <c:f>Sheet1!$C$3:$E$4</c:f>
              <c:strCache>
                <c:ptCount val="3"/>
                <c:pt idx="0">
                  <c:v>2007-2008</c:v>
                </c:pt>
                <c:pt idx="1">
                  <c:v>2008-2009</c:v>
                </c:pt>
                <c:pt idx="2">
                  <c:v>2009-2010</c:v>
                </c:pt>
              </c:strCache>
            </c:strRef>
          </c:cat>
          <c:val>
            <c:numRef>
              <c:f>Sheet1!$C$6:$E$6</c:f>
              <c:numCache>
                <c:formatCode>General</c:formatCode>
                <c:ptCount val="3"/>
                <c:pt idx="0">
                  <c:v>76.599999999999994</c:v>
                </c:pt>
                <c:pt idx="1">
                  <c:v>67.099999999999994</c:v>
                </c:pt>
                <c:pt idx="2">
                  <c:v>83.6</c:v>
                </c:pt>
              </c:numCache>
            </c:numRef>
          </c:val>
        </c:ser>
        <c:marker val="1"/>
        <c:axId val="125392768"/>
        <c:axId val="125403136"/>
      </c:lineChart>
      <c:catAx>
        <c:axId val="125392768"/>
        <c:scaling>
          <c:orientation val="minMax"/>
        </c:scaling>
        <c:axPos val="b"/>
        <c:title>
          <c:tx>
            <c:rich>
              <a:bodyPr/>
              <a:lstStyle/>
              <a:p>
                <a:pPr>
                  <a:defRPr/>
                </a:pPr>
                <a:r>
                  <a:rPr lang="en-GB"/>
                  <a:t>Academic</a:t>
                </a:r>
                <a:r>
                  <a:rPr lang="en-GB" baseline="0"/>
                  <a:t> Year</a:t>
                </a:r>
                <a:endParaRPr lang="en-GB"/>
              </a:p>
            </c:rich>
          </c:tx>
        </c:title>
        <c:tickLblPos val="nextTo"/>
        <c:crossAx val="125403136"/>
        <c:crosses val="autoZero"/>
        <c:auto val="1"/>
        <c:lblAlgn val="ctr"/>
        <c:lblOffset val="100"/>
      </c:catAx>
      <c:valAx>
        <c:axId val="125403136"/>
        <c:scaling>
          <c:orientation val="minMax"/>
        </c:scaling>
        <c:axPos val="l"/>
        <c:majorGridlines/>
        <c:title>
          <c:tx>
            <c:rich>
              <a:bodyPr rot="-5400000" vert="horz"/>
              <a:lstStyle/>
              <a:p>
                <a:pPr>
                  <a:defRPr/>
                </a:pPr>
                <a:r>
                  <a:rPr lang="en-GB" baseline="0"/>
                  <a:t>Success  %</a:t>
                </a:r>
                <a:endParaRPr lang="en-GB"/>
              </a:p>
            </c:rich>
          </c:tx>
        </c:title>
        <c:numFmt formatCode="General" sourceLinked="1"/>
        <c:tickLblPos val="nextTo"/>
        <c:crossAx val="125392768"/>
        <c:crosses val="autoZero"/>
        <c:crossBetween val="between"/>
      </c:valAx>
    </c:plotArea>
    <c:legend>
      <c:legendPos val="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Trend by Gender (BTH) </a:t>
            </a:r>
            <a:endParaRPr lang="en-GB"/>
          </a:p>
        </c:rich>
      </c:tx>
    </c:title>
    <c:plotArea>
      <c:layout/>
      <c:lineChart>
        <c:grouping val="standard"/>
        <c:ser>
          <c:idx val="0"/>
          <c:order val="0"/>
          <c:tx>
            <c:strRef>
              <c:f>Sheet1!$A$5</c:f>
              <c:strCache>
                <c:ptCount val="1"/>
                <c:pt idx="0">
                  <c:v>Males</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58.6</c:v>
                </c:pt>
                <c:pt idx="1">
                  <c:v>78.5</c:v>
                </c:pt>
                <c:pt idx="2">
                  <c:v>74.099999999999994</c:v>
                </c:pt>
              </c:numCache>
            </c:numRef>
          </c:val>
        </c:ser>
        <c:ser>
          <c:idx val="1"/>
          <c:order val="1"/>
          <c:tx>
            <c:strRef>
              <c:f>Sheet1!$A$6</c:f>
              <c:strCache>
                <c:ptCount val="1"/>
                <c:pt idx="0">
                  <c:v>Females</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64.3</c:v>
                </c:pt>
                <c:pt idx="1">
                  <c:v>79.3</c:v>
                </c:pt>
                <c:pt idx="2">
                  <c:v>67.599999999999994</c:v>
                </c:pt>
              </c:numCache>
            </c:numRef>
          </c:val>
        </c:ser>
        <c:marker val="1"/>
        <c:axId val="127533824"/>
        <c:axId val="127535744"/>
      </c:lineChart>
      <c:catAx>
        <c:axId val="127533824"/>
        <c:scaling>
          <c:orientation val="minMax"/>
        </c:scaling>
        <c:axPos val="b"/>
        <c:title>
          <c:tx>
            <c:rich>
              <a:bodyPr/>
              <a:lstStyle/>
              <a:p>
                <a:pPr>
                  <a:defRPr/>
                </a:pPr>
                <a:r>
                  <a:rPr lang="en-GB"/>
                  <a:t>Academic</a:t>
                </a:r>
                <a:r>
                  <a:rPr lang="en-GB" baseline="0"/>
                  <a:t> Year</a:t>
                </a:r>
                <a:endParaRPr lang="en-GB"/>
              </a:p>
            </c:rich>
          </c:tx>
        </c:title>
        <c:tickLblPos val="nextTo"/>
        <c:crossAx val="127535744"/>
        <c:crosses val="autoZero"/>
        <c:auto val="1"/>
        <c:lblAlgn val="ctr"/>
        <c:lblOffset val="100"/>
      </c:catAx>
      <c:valAx>
        <c:axId val="127535744"/>
        <c:scaling>
          <c:orientation val="minMax"/>
        </c:scaling>
        <c:axPos val="l"/>
        <c:majorGridlines/>
        <c:title>
          <c:tx>
            <c:rich>
              <a:bodyPr rot="-5400000" vert="horz"/>
              <a:lstStyle/>
              <a:p>
                <a:pPr>
                  <a:defRPr/>
                </a:pPr>
                <a:r>
                  <a:rPr lang="en-GB" baseline="0"/>
                  <a:t> Success  %</a:t>
                </a:r>
                <a:endParaRPr lang="en-GB"/>
              </a:p>
            </c:rich>
          </c:tx>
        </c:title>
        <c:numFmt formatCode="General" sourceLinked="1"/>
        <c:tickLblPos val="nextTo"/>
        <c:crossAx val="127533824"/>
        <c:crosses val="autoZero"/>
        <c:crossBetween val="between"/>
      </c:valAx>
    </c:plotArea>
    <c:legend>
      <c:legendPos val="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Trend by Gender (CBE)</a:t>
            </a:r>
            <a:endParaRPr lang="en-GB"/>
          </a:p>
        </c:rich>
      </c:tx>
    </c:title>
    <c:plotArea>
      <c:layout/>
      <c:lineChart>
        <c:grouping val="standard"/>
        <c:ser>
          <c:idx val="0"/>
          <c:order val="0"/>
          <c:tx>
            <c:strRef>
              <c:f>Sheet1!$A$3</c:f>
              <c:strCache>
                <c:ptCount val="1"/>
                <c:pt idx="0">
                  <c:v>Males</c:v>
                </c:pt>
              </c:strCache>
            </c:strRef>
          </c:tx>
          <c:marker>
            <c:symbol val="none"/>
          </c:marker>
          <c:cat>
            <c:strRef>
              <c:f>Sheet1!$B$1:$D$2</c:f>
              <c:strCache>
                <c:ptCount val="3"/>
                <c:pt idx="0">
                  <c:v>2007-2008</c:v>
                </c:pt>
                <c:pt idx="1">
                  <c:v>2008-2009</c:v>
                </c:pt>
                <c:pt idx="2">
                  <c:v>2009-2010</c:v>
                </c:pt>
              </c:strCache>
            </c:strRef>
          </c:cat>
          <c:val>
            <c:numRef>
              <c:f>Sheet1!$B$3:$D$3</c:f>
              <c:numCache>
                <c:formatCode>General</c:formatCode>
                <c:ptCount val="3"/>
                <c:pt idx="0">
                  <c:v>56.4</c:v>
                </c:pt>
                <c:pt idx="1">
                  <c:v>76.900000000000006</c:v>
                </c:pt>
                <c:pt idx="2">
                  <c:v>77.5</c:v>
                </c:pt>
              </c:numCache>
            </c:numRef>
          </c:val>
        </c:ser>
        <c:ser>
          <c:idx val="1"/>
          <c:order val="1"/>
          <c:tx>
            <c:strRef>
              <c:f>Sheet1!$A$4</c:f>
              <c:strCache>
                <c:ptCount val="1"/>
                <c:pt idx="0">
                  <c:v>Females</c:v>
                </c:pt>
              </c:strCache>
            </c:strRef>
          </c:tx>
          <c:marker>
            <c:symbol val="none"/>
          </c:marker>
          <c:cat>
            <c:strRef>
              <c:f>Sheet1!$B$1:$D$2</c:f>
              <c:strCache>
                <c:ptCount val="3"/>
                <c:pt idx="0">
                  <c:v>2007-2008</c:v>
                </c:pt>
                <c:pt idx="1">
                  <c:v>2008-2009</c:v>
                </c:pt>
                <c:pt idx="2">
                  <c:v>2009-2010</c:v>
                </c:pt>
              </c:strCache>
            </c:strRef>
          </c:cat>
          <c:val>
            <c:numRef>
              <c:f>Sheet1!$B$4:$D$4</c:f>
              <c:numCache>
                <c:formatCode>General</c:formatCode>
                <c:ptCount val="3"/>
                <c:pt idx="0">
                  <c:v>42.2</c:v>
                </c:pt>
                <c:pt idx="1">
                  <c:v>75.8</c:v>
                </c:pt>
                <c:pt idx="2">
                  <c:v>66.3</c:v>
                </c:pt>
              </c:numCache>
            </c:numRef>
          </c:val>
        </c:ser>
        <c:marker val="1"/>
        <c:axId val="127548800"/>
        <c:axId val="127563264"/>
      </c:lineChart>
      <c:catAx>
        <c:axId val="127548800"/>
        <c:scaling>
          <c:orientation val="minMax"/>
        </c:scaling>
        <c:axPos val="b"/>
        <c:title>
          <c:tx>
            <c:rich>
              <a:bodyPr/>
              <a:lstStyle/>
              <a:p>
                <a:pPr>
                  <a:defRPr/>
                </a:pPr>
                <a:r>
                  <a:rPr lang="en-GB"/>
                  <a:t>Academic</a:t>
                </a:r>
                <a:r>
                  <a:rPr lang="en-GB" baseline="0"/>
                  <a:t> Year</a:t>
                </a:r>
                <a:endParaRPr lang="en-GB"/>
              </a:p>
            </c:rich>
          </c:tx>
        </c:title>
        <c:tickLblPos val="nextTo"/>
        <c:crossAx val="127563264"/>
        <c:crosses val="autoZero"/>
        <c:auto val="1"/>
        <c:lblAlgn val="ctr"/>
        <c:lblOffset val="100"/>
      </c:catAx>
      <c:valAx>
        <c:axId val="127563264"/>
        <c:scaling>
          <c:orientation val="minMax"/>
        </c:scaling>
        <c:axPos val="l"/>
        <c:majorGridlines/>
        <c:title>
          <c:tx>
            <c:rich>
              <a:bodyPr rot="-5400000" vert="horz"/>
              <a:lstStyle/>
              <a:p>
                <a:pPr>
                  <a:defRPr/>
                </a:pPr>
                <a:r>
                  <a:rPr lang="en-GB" baseline="0"/>
                  <a:t> Success  %</a:t>
                </a:r>
                <a:endParaRPr lang="en-GB"/>
              </a:p>
            </c:rich>
          </c:tx>
        </c:title>
        <c:numFmt formatCode="General" sourceLinked="1"/>
        <c:tickLblPos val="nextTo"/>
        <c:crossAx val="127548800"/>
        <c:crosses val="autoZero"/>
        <c:crossBetween val="between"/>
      </c:valAx>
    </c:plotArea>
    <c:legend>
      <c:legendPos val="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Trend by Gender (CIT) </a:t>
            </a:r>
            <a:endParaRPr lang="en-GB"/>
          </a:p>
        </c:rich>
      </c:tx>
    </c:title>
    <c:plotArea>
      <c:layout/>
      <c:lineChart>
        <c:grouping val="standard"/>
        <c:ser>
          <c:idx val="0"/>
          <c:order val="0"/>
          <c:tx>
            <c:strRef>
              <c:f>Sheet1!$A$3</c:f>
              <c:strCache>
                <c:ptCount val="1"/>
                <c:pt idx="0">
                  <c:v>Males</c:v>
                </c:pt>
              </c:strCache>
            </c:strRef>
          </c:tx>
          <c:marker>
            <c:symbol val="none"/>
          </c:marker>
          <c:cat>
            <c:strRef>
              <c:f>Sheet1!$B$1:$D$2</c:f>
              <c:strCache>
                <c:ptCount val="3"/>
                <c:pt idx="0">
                  <c:v>2007-2008</c:v>
                </c:pt>
                <c:pt idx="1">
                  <c:v>2008-2009</c:v>
                </c:pt>
                <c:pt idx="2">
                  <c:v>2009-2010</c:v>
                </c:pt>
              </c:strCache>
            </c:strRef>
          </c:cat>
          <c:val>
            <c:numRef>
              <c:f>Sheet1!$B$3:$D$3</c:f>
              <c:numCache>
                <c:formatCode>General</c:formatCode>
                <c:ptCount val="3"/>
                <c:pt idx="0">
                  <c:v>51.8</c:v>
                </c:pt>
                <c:pt idx="1">
                  <c:v>56.7</c:v>
                </c:pt>
                <c:pt idx="2">
                  <c:v>55.2</c:v>
                </c:pt>
              </c:numCache>
            </c:numRef>
          </c:val>
        </c:ser>
        <c:ser>
          <c:idx val="1"/>
          <c:order val="1"/>
          <c:tx>
            <c:strRef>
              <c:f>Sheet1!$A$4</c:f>
              <c:strCache>
                <c:ptCount val="1"/>
                <c:pt idx="0">
                  <c:v>Females</c:v>
                </c:pt>
              </c:strCache>
            </c:strRef>
          </c:tx>
          <c:marker>
            <c:symbol val="none"/>
          </c:marker>
          <c:cat>
            <c:strRef>
              <c:f>Sheet1!$B$1:$D$2</c:f>
              <c:strCache>
                <c:ptCount val="3"/>
                <c:pt idx="0">
                  <c:v>2007-2008</c:v>
                </c:pt>
                <c:pt idx="1">
                  <c:v>2008-2009</c:v>
                </c:pt>
                <c:pt idx="2">
                  <c:v>2009-2010</c:v>
                </c:pt>
              </c:strCache>
            </c:strRef>
          </c:cat>
          <c:val>
            <c:numRef>
              <c:f>Sheet1!$B$4:$D$4</c:f>
              <c:numCache>
                <c:formatCode>General</c:formatCode>
                <c:ptCount val="3"/>
                <c:pt idx="0">
                  <c:v>56.3</c:v>
                </c:pt>
                <c:pt idx="1">
                  <c:v>45.9</c:v>
                </c:pt>
                <c:pt idx="2">
                  <c:v>44.9</c:v>
                </c:pt>
              </c:numCache>
            </c:numRef>
          </c:val>
        </c:ser>
        <c:marker val="1"/>
        <c:axId val="127592320"/>
        <c:axId val="129556480"/>
      </c:lineChart>
      <c:catAx>
        <c:axId val="127592320"/>
        <c:scaling>
          <c:orientation val="minMax"/>
        </c:scaling>
        <c:axPos val="b"/>
        <c:title>
          <c:tx>
            <c:rich>
              <a:bodyPr/>
              <a:lstStyle/>
              <a:p>
                <a:pPr>
                  <a:defRPr/>
                </a:pPr>
                <a:r>
                  <a:rPr lang="en-GB"/>
                  <a:t>Academic</a:t>
                </a:r>
                <a:r>
                  <a:rPr lang="en-GB" baseline="0"/>
                  <a:t> Year</a:t>
                </a:r>
                <a:endParaRPr lang="en-GB"/>
              </a:p>
            </c:rich>
          </c:tx>
        </c:title>
        <c:tickLblPos val="nextTo"/>
        <c:crossAx val="129556480"/>
        <c:crosses val="autoZero"/>
        <c:auto val="1"/>
        <c:lblAlgn val="ctr"/>
        <c:lblOffset val="100"/>
      </c:catAx>
      <c:valAx>
        <c:axId val="129556480"/>
        <c:scaling>
          <c:orientation val="minMax"/>
        </c:scaling>
        <c:axPos val="l"/>
        <c:majorGridlines/>
        <c:title>
          <c:tx>
            <c:rich>
              <a:bodyPr rot="-5400000" vert="horz"/>
              <a:lstStyle/>
              <a:p>
                <a:pPr>
                  <a:defRPr/>
                </a:pPr>
                <a:r>
                  <a:rPr lang="en-GB" baseline="0"/>
                  <a:t> Success  %</a:t>
                </a:r>
                <a:endParaRPr lang="en-GB"/>
              </a:p>
            </c:rich>
          </c:tx>
        </c:title>
        <c:numFmt formatCode="General" sourceLinked="1"/>
        <c:tickLblPos val="nextTo"/>
        <c:crossAx val="127592320"/>
        <c:crosses val="autoZero"/>
        <c:crossBetween val="between"/>
      </c:valAx>
    </c:plotArea>
    <c:legend>
      <c:legendPos val="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Trend by Gender (CVP)</a:t>
            </a:r>
            <a:endParaRPr lang="en-GB"/>
          </a:p>
        </c:rich>
      </c:tx>
    </c:title>
    <c:plotArea>
      <c:layout/>
      <c:lineChart>
        <c:grouping val="standard"/>
        <c:ser>
          <c:idx val="0"/>
          <c:order val="0"/>
          <c:tx>
            <c:strRef>
              <c:f>Sheet1!$A$5</c:f>
              <c:strCache>
                <c:ptCount val="1"/>
                <c:pt idx="0">
                  <c:v>Males</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32.700000000000003</c:v>
                </c:pt>
                <c:pt idx="1">
                  <c:v>65.2</c:v>
                </c:pt>
                <c:pt idx="2">
                  <c:v>65.099999999999994</c:v>
                </c:pt>
              </c:numCache>
            </c:numRef>
          </c:val>
        </c:ser>
        <c:ser>
          <c:idx val="1"/>
          <c:order val="1"/>
          <c:tx>
            <c:strRef>
              <c:f>Sheet1!$A$6</c:f>
              <c:strCache>
                <c:ptCount val="1"/>
                <c:pt idx="0">
                  <c:v>Females</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40.1</c:v>
                </c:pt>
                <c:pt idx="1">
                  <c:v>66.5</c:v>
                </c:pt>
                <c:pt idx="2">
                  <c:v>72.3</c:v>
                </c:pt>
              </c:numCache>
            </c:numRef>
          </c:val>
        </c:ser>
        <c:marker val="1"/>
        <c:axId val="131621632"/>
        <c:axId val="131623552"/>
      </c:lineChart>
      <c:catAx>
        <c:axId val="131621632"/>
        <c:scaling>
          <c:orientation val="minMax"/>
        </c:scaling>
        <c:axPos val="b"/>
        <c:title>
          <c:tx>
            <c:rich>
              <a:bodyPr/>
              <a:lstStyle/>
              <a:p>
                <a:pPr>
                  <a:defRPr/>
                </a:pPr>
                <a:r>
                  <a:rPr lang="en-GB"/>
                  <a:t>Academic</a:t>
                </a:r>
                <a:r>
                  <a:rPr lang="en-GB" baseline="0"/>
                  <a:t> Year</a:t>
                </a:r>
                <a:endParaRPr lang="en-GB"/>
              </a:p>
            </c:rich>
          </c:tx>
        </c:title>
        <c:tickLblPos val="nextTo"/>
        <c:crossAx val="131623552"/>
        <c:crosses val="autoZero"/>
        <c:auto val="1"/>
        <c:lblAlgn val="ctr"/>
        <c:lblOffset val="100"/>
      </c:catAx>
      <c:valAx>
        <c:axId val="131623552"/>
        <c:scaling>
          <c:orientation val="minMax"/>
        </c:scaling>
        <c:axPos val="l"/>
        <c:majorGridlines/>
        <c:title>
          <c:tx>
            <c:rich>
              <a:bodyPr rot="-5400000" vert="horz"/>
              <a:lstStyle/>
              <a:p>
                <a:pPr>
                  <a:defRPr/>
                </a:pPr>
                <a:r>
                  <a:rPr lang="en-GB" baseline="0"/>
                  <a:t> Success  %</a:t>
                </a:r>
                <a:endParaRPr lang="en-GB"/>
              </a:p>
            </c:rich>
          </c:tx>
        </c:title>
        <c:numFmt formatCode="General" sourceLinked="1"/>
        <c:tickLblPos val="nextTo"/>
        <c:crossAx val="131621632"/>
        <c:crosses val="autoZero"/>
        <c:crossBetween val="between"/>
      </c:valAx>
    </c:plotArea>
    <c:legend>
      <c:legendPos val="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Trend by Gender (ENG)</a:t>
            </a:r>
            <a:endParaRPr lang="en-GB"/>
          </a:p>
        </c:rich>
      </c:tx>
    </c:title>
    <c:plotArea>
      <c:layout/>
      <c:lineChart>
        <c:grouping val="standard"/>
        <c:ser>
          <c:idx val="0"/>
          <c:order val="0"/>
          <c:tx>
            <c:strRef>
              <c:f>Sheet1!$A$5</c:f>
              <c:strCache>
                <c:ptCount val="1"/>
                <c:pt idx="0">
                  <c:v>Males</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66</c:v>
                </c:pt>
                <c:pt idx="1">
                  <c:v>87.7</c:v>
                </c:pt>
                <c:pt idx="2">
                  <c:v>71.3</c:v>
                </c:pt>
              </c:numCache>
            </c:numRef>
          </c:val>
        </c:ser>
        <c:ser>
          <c:idx val="1"/>
          <c:order val="1"/>
          <c:tx>
            <c:strRef>
              <c:f>Sheet1!$A$6</c:f>
              <c:strCache>
                <c:ptCount val="1"/>
                <c:pt idx="0">
                  <c:v>Females</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49</c:v>
                </c:pt>
                <c:pt idx="1">
                  <c:v>86.8</c:v>
                </c:pt>
                <c:pt idx="2">
                  <c:v>61.5</c:v>
                </c:pt>
              </c:numCache>
            </c:numRef>
          </c:val>
        </c:ser>
        <c:marker val="1"/>
        <c:axId val="131644800"/>
        <c:axId val="131655168"/>
      </c:lineChart>
      <c:catAx>
        <c:axId val="131644800"/>
        <c:scaling>
          <c:orientation val="minMax"/>
        </c:scaling>
        <c:axPos val="b"/>
        <c:title>
          <c:tx>
            <c:rich>
              <a:bodyPr/>
              <a:lstStyle/>
              <a:p>
                <a:pPr>
                  <a:defRPr/>
                </a:pPr>
                <a:r>
                  <a:rPr lang="en-GB"/>
                  <a:t>Academic</a:t>
                </a:r>
                <a:r>
                  <a:rPr lang="en-GB" baseline="0"/>
                  <a:t> Year</a:t>
                </a:r>
                <a:endParaRPr lang="en-GB"/>
              </a:p>
            </c:rich>
          </c:tx>
        </c:title>
        <c:tickLblPos val="nextTo"/>
        <c:crossAx val="131655168"/>
        <c:crosses val="autoZero"/>
        <c:auto val="1"/>
        <c:lblAlgn val="ctr"/>
        <c:lblOffset val="100"/>
      </c:catAx>
      <c:valAx>
        <c:axId val="131655168"/>
        <c:scaling>
          <c:orientation val="minMax"/>
        </c:scaling>
        <c:axPos val="l"/>
        <c:majorGridlines/>
        <c:title>
          <c:tx>
            <c:rich>
              <a:bodyPr rot="-5400000" vert="horz"/>
              <a:lstStyle/>
              <a:p>
                <a:pPr>
                  <a:defRPr/>
                </a:pPr>
                <a:r>
                  <a:rPr lang="en-GB" baseline="0"/>
                  <a:t> Success  %</a:t>
                </a:r>
                <a:endParaRPr lang="en-GB"/>
              </a:p>
            </c:rich>
          </c:tx>
        </c:title>
        <c:numFmt formatCode="General" sourceLinked="1"/>
        <c:tickLblPos val="nextTo"/>
        <c:crossAx val="13164480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Gender</a:t>
            </a:r>
            <a:r>
              <a:rPr lang="en-GB" baseline="0"/>
              <a:t> Analysis 2007-2008</a:t>
            </a:r>
            <a:endParaRPr lang="en-GB"/>
          </a:p>
        </c:rich>
      </c:tx>
      <c:layout/>
    </c:title>
    <c:view3D>
      <c:rAngAx val="1"/>
    </c:view3D>
    <c:plotArea>
      <c:layout/>
      <c:bar3DChart>
        <c:barDir val="col"/>
        <c:grouping val="clustered"/>
        <c:ser>
          <c:idx val="0"/>
          <c:order val="0"/>
          <c:tx>
            <c:strRef>
              <c:f>Sheet1!$A$2</c:f>
              <c:strCache>
                <c:ptCount val="1"/>
                <c:pt idx="0">
                  <c:v>Males</c:v>
                </c:pt>
              </c:strCache>
            </c:strRef>
          </c:tx>
          <c:cat>
            <c:strRef>
              <c:f>Sheet1!$B$1:$D$1</c:f>
              <c:strCache>
                <c:ptCount val="3"/>
                <c:pt idx="0">
                  <c:v>Retention</c:v>
                </c:pt>
                <c:pt idx="1">
                  <c:v>Attainment</c:v>
                </c:pt>
                <c:pt idx="2">
                  <c:v>Success</c:v>
                </c:pt>
              </c:strCache>
            </c:strRef>
          </c:cat>
          <c:val>
            <c:numRef>
              <c:f>Sheet1!$B$2:$D$2</c:f>
              <c:numCache>
                <c:formatCode>General</c:formatCode>
                <c:ptCount val="3"/>
                <c:pt idx="0">
                  <c:v>97.4</c:v>
                </c:pt>
                <c:pt idx="1">
                  <c:v>61.2</c:v>
                </c:pt>
                <c:pt idx="2">
                  <c:v>59.6</c:v>
                </c:pt>
              </c:numCache>
            </c:numRef>
          </c:val>
        </c:ser>
        <c:ser>
          <c:idx val="1"/>
          <c:order val="1"/>
          <c:tx>
            <c:strRef>
              <c:f>Sheet1!$A$3</c:f>
              <c:strCache>
                <c:ptCount val="1"/>
                <c:pt idx="0">
                  <c:v>Females</c:v>
                </c:pt>
              </c:strCache>
            </c:strRef>
          </c:tx>
          <c:cat>
            <c:strRef>
              <c:f>Sheet1!$B$1:$D$1</c:f>
              <c:strCache>
                <c:ptCount val="3"/>
                <c:pt idx="0">
                  <c:v>Retention</c:v>
                </c:pt>
                <c:pt idx="1">
                  <c:v>Attainment</c:v>
                </c:pt>
                <c:pt idx="2">
                  <c:v>Success</c:v>
                </c:pt>
              </c:strCache>
            </c:strRef>
          </c:cat>
          <c:val>
            <c:numRef>
              <c:f>Sheet1!$B$3:$D$3</c:f>
              <c:numCache>
                <c:formatCode>General</c:formatCode>
                <c:ptCount val="3"/>
                <c:pt idx="0">
                  <c:v>97.9</c:v>
                </c:pt>
                <c:pt idx="1">
                  <c:v>67.400000000000006</c:v>
                </c:pt>
                <c:pt idx="2">
                  <c:v>66</c:v>
                </c:pt>
              </c:numCache>
            </c:numRef>
          </c:val>
        </c:ser>
        <c:shape val="box"/>
        <c:axId val="91209088"/>
        <c:axId val="91210880"/>
        <c:axId val="0"/>
      </c:bar3DChart>
      <c:catAx>
        <c:axId val="91209088"/>
        <c:scaling>
          <c:orientation val="minMax"/>
        </c:scaling>
        <c:axPos val="b"/>
        <c:tickLblPos val="nextTo"/>
        <c:crossAx val="91210880"/>
        <c:crosses val="autoZero"/>
        <c:auto val="1"/>
        <c:lblAlgn val="ctr"/>
        <c:lblOffset val="100"/>
      </c:catAx>
      <c:valAx>
        <c:axId val="91210880"/>
        <c:scaling>
          <c:orientation val="minMax"/>
        </c:scaling>
        <c:axPos val="l"/>
        <c:majorGridlines/>
        <c:title>
          <c:tx>
            <c:rich>
              <a:bodyPr rot="-5400000" vert="horz"/>
              <a:lstStyle/>
              <a:p>
                <a:pPr>
                  <a:defRPr/>
                </a:pPr>
                <a:r>
                  <a:rPr lang="en-GB"/>
                  <a:t>Percentage</a:t>
                </a:r>
                <a:r>
                  <a:rPr lang="en-GB" baseline="0"/>
                  <a:t> % </a:t>
                </a:r>
                <a:endParaRPr lang="en-GB"/>
              </a:p>
            </c:rich>
          </c:tx>
          <c:layout/>
        </c:title>
        <c:numFmt formatCode="General" sourceLinked="1"/>
        <c:tickLblPos val="nextTo"/>
        <c:crossAx val="91209088"/>
        <c:crosses val="autoZero"/>
        <c:crossBetween val="between"/>
      </c:valAx>
    </c:plotArea>
    <c:legend>
      <c:legendPos val="r"/>
      <c:layout/>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Trend by Gender (Fac6Form)</a:t>
            </a:r>
            <a:endParaRPr lang="en-GB"/>
          </a:p>
        </c:rich>
      </c:tx>
    </c:title>
    <c:plotArea>
      <c:layout/>
      <c:lineChart>
        <c:grouping val="standard"/>
        <c:ser>
          <c:idx val="0"/>
          <c:order val="0"/>
          <c:tx>
            <c:strRef>
              <c:f>Sheet1!$A$5</c:f>
              <c:strCache>
                <c:ptCount val="1"/>
                <c:pt idx="0">
                  <c:v>Males</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1">
                  <c:v>74.2</c:v>
                </c:pt>
                <c:pt idx="2">
                  <c:v>70.5</c:v>
                </c:pt>
              </c:numCache>
            </c:numRef>
          </c:val>
        </c:ser>
        <c:ser>
          <c:idx val="1"/>
          <c:order val="1"/>
          <c:tx>
            <c:strRef>
              <c:f>Sheet1!$A$6</c:f>
              <c:strCache>
                <c:ptCount val="1"/>
                <c:pt idx="0">
                  <c:v>Females</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1">
                  <c:v>79</c:v>
                </c:pt>
                <c:pt idx="2">
                  <c:v>74.5</c:v>
                </c:pt>
              </c:numCache>
            </c:numRef>
          </c:val>
        </c:ser>
        <c:marker val="1"/>
        <c:axId val="131676416"/>
        <c:axId val="131703168"/>
      </c:lineChart>
      <c:catAx>
        <c:axId val="131676416"/>
        <c:scaling>
          <c:orientation val="minMax"/>
        </c:scaling>
        <c:axPos val="b"/>
        <c:title>
          <c:tx>
            <c:rich>
              <a:bodyPr/>
              <a:lstStyle/>
              <a:p>
                <a:pPr>
                  <a:defRPr/>
                </a:pPr>
                <a:r>
                  <a:rPr lang="en-GB"/>
                  <a:t>Academic</a:t>
                </a:r>
                <a:r>
                  <a:rPr lang="en-GB" baseline="0"/>
                  <a:t> Year</a:t>
                </a:r>
                <a:endParaRPr lang="en-GB"/>
              </a:p>
            </c:rich>
          </c:tx>
        </c:title>
        <c:tickLblPos val="nextTo"/>
        <c:crossAx val="131703168"/>
        <c:crosses val="autoZero"/>
        <c:auto val="1"/>
        <c:lblAlgn val="ctr"/>
        <c:lblOffset val="100"/>
      </c:catAx>
      <c:valAx>
        <c:axId val="131703168"/>
        <c:scaling>
          <c:orientation val="minMax"/>
        </c:scaling>
        <c:axPos val="l"/>
        <c:majorGridlines/>
        <c:title>
          <c:tx>
            <c:rich>
              <a:bodyPr rot="-5400000" vert="horz"/>
              <a:lstStyle/>
              <a:p>
                <a:pPr>
                  <a:defRPr/>
                </a:pPr>
                <a:r>
                  <a:rPr lang="en-GB" baseline="0"/>
                  <a:t> Success  %</a:t>
                </a:r>
                <a:endParaRPr lang="en-GB"/>
              </a:p>
            </c:rich>
          </c:tx>
        </c:title>
        <c:numFmt formatCode="General" sourceLinked="1"/>
        <c:tickLblPos val="nextTo"/>
        <c:crossAx val="131676416"/>
        <c:crosses val="autoZero"/>
        <c:crossBetween val="between"/>
      </c:valAx>
    </c:plotArea>
    <c:legend>
      <c:legendPos val="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Trend by Gender (HAT)</a:t>
            </a:r>
            <a:endParaRPr lang="en-GB"/>
          </a:p>
        </c:rich>
      </c:tx>
    </c:title>
    <c:plotArea>
      <c:layout/>
      <c:lineChart>
        <c:grouping val="standard"/>
        <c:ser>
          <c:idx val="0"/>
          <c:order val="0"/>
          <c:tx>
            <c:strRef>
              <c:f>Sheet1!$A$5</c:f>
              <c:strCache>
                <c:ptCount val="1"/>
                <c:pt idx="0">
                  <c:v>Males</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48.8</c:v>
                </c:pt>
                <c:pt idx="1">
                  <c:v>66.3</c:v>
                </c:pt>
                <c:pt idx="2">
                  <c:v>68.5</c:v>
                </c:pt>
              </c:numCache>
            </c:numRef>
          </c:val>
        </c:ser>
        <c:ser>
          <c:idx val="1"/>
          <c:order val="1"/>
          <c:tx>
            <c:strRef>
              <c:f>Sheet1!$A$6</c:f>
              <c:strCache>
                <c:ptCount val="1"/>
                <c:pt idx="0">
                  <c:v>Females</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66.3</c:v>
                </c:pt>
                <c:pt idx="1">
                  <c:v>78.599999999999994</c:v>
                </c:pt>
                <c:pt idx="2">
                  <c:v>76.099999999999994</c:v>
                </c:pt>
              </c:numCache>
            </c:numRef>
          </c:val>
        </c:ser>
        <c:marker val="1"/>
        <c:axId val="131720320"/>
        <c:axId val="131722240"/>
      </c:lineChart>
      <c:catAx>
        <c:axId val="131720320"/>
        <c:scaling>
          <c:orientation val="minMax"/>
        </c:scaling>
        <c:axPos val="b"/>
        <c:title>
          <c:tx>
            <c:rich>
              <a:bodyPr/>
              <a:lstStyle/>
              <a:p>
                <a:pPr>
                  <a:defRPr/>
                </a:pPr>
                <a:r>
                  <a:rPr lang="en-GB"/>
                  <a:t>Academic</a:t>
                </a:r>
                <a:r>
                  <a:rPr lang="en-GB" baseline="0"/>
                  <a:t> Year</a:t>
                </a:r>
                <a:endParaRPr lang="en-GB"/>
              </a:p>
            </c:rich>
          </c:tx>
        </c:title>
        <c:tickLblPos val="nextTo"/>
        <c:crossAx val="131722240"/>
        <c:crosses val="autoZero"/>
        <c:auto val="1"/>
        <c:lblAlgn val="ctr"/>
        <c:lblOffset val="100"/>
      </c:catAx>
      <c:valAx>
        <c:axId val="131722240"/>
        <c:scaling>
          <c:orientation val="minMax"/>
        </c:scaling>
        <c:axPos val="l"/>
        <c:majorGridlines/>
        <c:title>
          <c:tx>
            <c:rich>
              <a:bodyPr rot="-5400000" vert="horz"/>
              <a:lstStyle/>
              <a:p>
                <a:pPr>
                  <a:defRPr/>
                </a:pPr>
                <a:r>
                  <a:rPr lang="en-GB" baseline="0"/>
                  <a:t> Success  %</a:t>
                </a:r>
                <a:endParaRPr lang="en-GB"/>
              </a:p>
            </c:rich>
          </c:tx>
        </c:title>
        <c:numFmt formatCode="General" sourceLinked="1"/>
        <c:tickLblPos val="nextTo"/>
        <c:crossAx val="131720320"/>
        <c:crosses val="autoZero"/>
        <c:crossBetween val="between"/>
      </c:valAx>
    </c:plotArea>
    <c:legend>
      <c:legendPos val="r"/>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Trend by Gender (HSC)</a:t>
            </a:r>
            <a:endParaRPr lang="en-GB"/>
          </a:p>
        </c:rich>
      </c:tx>
    </c:title>
    <c:plotArea>
      <c:layout/>
      <c:lineChart>
        <c:grouping val="standard"/>
        <c:ser>
          <c:idx val="0"/>
          <c:order val="0"/>
          <c:tx>
            <c:strRef>
              <c:f>Sheet1!$A$5</c:f>
              <c:strCache>
                <c:ptCount val="1"/>
                <c:pt idx="0">
                  <c:v>Males</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70.3</c:v>
                </c:pt>
                <c:pt idx="1">
                  <c:v>78.099999999999994</c:v>
                </c:pt>
                <c:pt idx="2">
                  <c:v>56.4</c:v>
                </c:pt>
              </c:numCache>
            </c:numRef>
          </c:val>
        </c:ser>
        <c:ser>
          <c:idx val="1"/>
          <c:order val="1"/>
          <c:tx>
            <c:strRef>
              <c:f>Sheet1!$A$6</c:f>
              <c:strCache>
                <c:ptCount val="1"/>
                <c:pt idx="0">
                  <c:v>Females</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69.400000000000006</c:v>
                </c:pt>
                <c:pt idx="1">
                  <c:v>75.7</c:v>
                </c:pt>
                <c:pt idx="2">
                  <c:v>67.599999999999994</c:v>
                </c:pt>
              </c:numCache>
            </c:numRef>
          </c:val>
        </c:ser>
        <c:marker val="1"/>
        <c:axId val="131756032"/>
        <c:axId val="131757952"/>
      </c:lineChart>
      <c:catAx>
        <c:axId val="131756032"/>
        <c:scaling>
          <c:orientation val="minMax"/>
        </c:scaling>
        <c:axPos val="b"/>
        <c:title>
          <c:tx>
            <c:rich>
              <a:bodyPr/>
              <a:lstStyle/>
              <a:p>
                <a:pPr>
                  <a:defRPr/>
                </a:pPr>
                <a:r>
                  <a:rPr lang="en-GB"/>
                  <a:t>Academic</a:t>
                </a:r>
                <a:r>
                  <a:rPr lang="en-GB" baseline="0"/>
                  <a:t> Year</a:t>
                </a:r>
                <a:endParaRPr lang="en-GB"/>
              </a:p>
            </c:rich>
          </c:tx>
        </c:title>
        <c:tickLblPos val="nextTo"/>
        <c:crossAx val="131757952"/>
        <c:crosses val="autoZero"/>
        <c:auto val="1"/>
        <c:lblAlgn val="ctr"/>
        <c:lblOffset val="100"/>
      </c:catAx>
      <c:valAx>
        <c:axId val="131757952"/>
        <c:scaling>
          <c:orientation val="minMax"/>
        </c:scaling>
        <c:axPos val="l"/>
        <c:majorGridlines/>
        <c:title>
          <c:tx>
            <c:rich>
              <a:bodyPr rot="-5400000" vert="horz"/>
              <a:lstStyle/>
              <a:p>
                <a:pPr>
                  <a:defRPr/>
                </a:pPr>
                <a:r>
                  <a:rPr lang="en-GB" baseline="0"/>
                  <a:t> Success  %</a:t>
                </a:r>
                <a:endParaRPr lang="en-GB"/>
              </a:p>
            </c:rich>
          </c:tx>
        </c:title>
        <c:numFmt formatCode="General" sourceLinked="1"/>
        <c:tickLblPos val="nextTo"/>
        <c:crossAx val="131756032"/>
        <c:crosses val="autoZero"/>
        <c:crossBetween val="between"/>
      </c:valAx>
    </c:plotArea>
    <c:legend>
      <c:legendPos val="r"/>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Trend by Gender (IBC)</a:t>
            </a:r>
            <a:endParaRPr lang="en-GB"/>
          </a:p>
        </c:rich>
      </c:tx>
    </c:title>
    <c:plotArea>
      <c:layout/>
      <c:lineChart>
        <c:grouping val="standard"/>
        <c:ser>
          <c:idx val="0"/>
          <c:order val="0"/>
          <c:tx>
            <c:strRef>
              <c:f>Sheet1!$A$5</c:f>
              <c:strCache>
                <c:ptCount val="1"/>
                <c:pt idx="0">
                  <c:v>Males</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86.3</c:v>
                </c:pt>
                <c:pt idx="1">
                  <c:v>77.900000000000006</c:v>
                </c:pt>
                <c:pt idx="2">
                  <c:v>93.5</c:v>
                </c:pt>
              </c:numCache>
            </c:numRef>
          </c:val>
        </c:ser>
        <c:ser>
          <c:idx val="1"/>
          <c:order val="1"/>
          <c:tx>
            <c:strRef>
              <c:f>Sheet1!$A$6</c:f>
              <c:strCache>
                <c:ptCount val="1"/>
                <c:pt idx="0">
                  <c:v>Females</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91</c:v>
                </c:pt>
                <c:pt idx="1">
                  <c:v>71.2</c:v>
                </c:pt>
                <c:pt idx="2">
                  <c:v>95.1</c:v>
                </c:pt>
              </c:numCache>
            </c:numRef>
          </c:val>
        </c:ser>
        <c:marker val="1"/>
        <c:axId val="131779200"/>
        <c:axId val="131793664"/>
      </c:lineChart>
      <c:catAx>
        <c:axId val="131779200"/>
        <c:scaling>
          <c:orientation val="minMax"/>
        </c:scaling>
        <c:axPos val="b"/>
        <c:title>
          <c:tx>
            <c:rich>
              <a:bodyPr/>
              <a:lstStyle/>
              <a:p>
                <a:pPr>
                  <a:defRPr/>
                </a:pPr>
                <a:r>
                  <a:rPr lang="en-GB"/>
                  <a:t>Academic</a:t>
                </a:r>
                <a:r>
                  <a:rPr lang="en-GB" baseline="0"/>
                  <a:t> Year</a:t>
                </a:r>
                <a:endParaRPr lang="en-GB"/>
              </a:p>
            </c:rich>
          </c:tx>
        </c:title>
        <c:tickLblPos val="nextTo"/>
        <c:crossAx val="131793664"/>
        <c:crosses val="autoZero"/>
        <c:auto val="1"/>
        <c:lblAlgn val="ctr"/>
        <c:lblOffset val="100"/>
      </c:catAx>
      <c:valAx>
        <c:axId val="131793664"/>
        <c:scaling>
          <c:orientation val="minMax"/>
        </c:scaling>
        <c:axPos val="l"/>
        <c:majorGridlines/>
        <c:title>
          <c:tx>
            <c:rich>
              <a:bodyPr rot="-5400000" vert="horz"/>
              <a:lstStyle/>
              <a:p>
                <a:pPr>
                  <a:defRPr/>
                </a:pPr>
                <a:r>
                  <a:rPr lang="en-GB" baseline="0"/>
                  <a:t> Success  %</a:t>
                </a:r>
                <a:endParaRPr lang="en-GB"/>
              </a:p>
            </c:rich>
          </c:tx>
        </c:title>
        <c:numFmt formatCode="General" sourceLinked="1"/>
        <c:tickLblPos val="nextTo"/>
        <c:crossAx val="131779200"/>
        <c:crosses val="autoZero"/>
        <c:crossBetween val="between"/>
      </c:valAx>
    </c:plotArea>
    <c:legend>
      <c:legendPos val="r"/>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Trend by Gender</a:t>
            </a:r>
            <a:endParaRPr lang="en-GB"/>
          </a:p>
        </c:rich>
      </c:tx>
    </c:title>
    <c:plotArea>
      <c:layout/>
      <c:lineChart>
        <c:grouping val="standard"/>
        <c:ser>
          <c:idx val="0"/>
          <c:order val="0"/>
          <c:tx>
            <c:strRef>
              <c:f>Sheet1!$A$5</c:f>
              <c:strCache>
                <c:ptCount val="1"/>
                <c:pt idx="0">
                  <c:v>Males</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20</c:v>
                </c:pt>
                <c:pt idx="1">
                  <c:v>51.7</c:v>
                </c:pt>
                <c:pt idx="2">
                  <c:v>100</c:v>
                </c:pt>
              </c:numCache>
            </c:numRef>
          </c:val>
        </c:ser>
        <c:ser>
          <c:idx val="1"/>
          <c:order val="1"/>
          <c:tx>
            <c:strRef>
              <c:f>Sheet1!$A$6</c:f>
              <c:strCache>
                <c:ptCount val="1"/>
                <c:pt idx="0">
                  <c:v>Females</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27.7</c:v>
                </c:pt>
                <c:pt idx="1">
                  <c:v>52.5</c:v>
                </c:pt>
                <c:pt idx="2">
                  <c:v>100</c:v>
                </c:pt>
              </c:numCache>
            </c:numRef>
          </c:val>
        </c:ser>
        <c:marker val="1"/>
        <c:axId val="131835392"/>
        <c:axId val="131837312"/>
      </c:lineChart>
      <c:catAx>
        <c:axId val="131835392"/>
        <c:scaling>
          <c:orientation val="minMax"/>
        </c:scaling>
        <c:axPos val="b"/>
        <c:title>
          <c:tx>
            <c:rich>
              <a:bodyPr/>
              <a:lstStyle/>
              <a:p>
                <a:pPr>
                  <a:defRPr/>
                </a:pPr>
                <a:r>
                  <a:rPr lang="en-GB"/>
                  <a:t>Academic</a:t>
                </a:r>
                <a:r>
                  <a:rPr lang="en-GB" baseline="0"/>
                  <a:t> Year</a:t>
                </a:r>
                <a:endParaRPr lang="en-GB"/>
              </a:p>
            </c:rich>
          </c:tx>
        </c:title>
        <c:tickLblPos val="nextTo"/>
        <c:crossAx val="131837312"/>
        <c:crosses val="autoZero"/>
        <c:auto val="1"/>
        <c:lblAlgn val="ctr"/>
        <c:lblOffset val="100"/>
      </c:catAx>
      <c:valAx>
        <c:axId val="131837312"/>
        <c:scaling>
          <c:orientation val="minMax"/>
        </c:scaling>
        <c:axPos val="l"/>
        <c:majorGridlines/>
        <c:title>
          <c:tx>
            <c:rich>
              <a:bodyPr rot="-5400000" vert="horz"/>
              <a:lstStyle/>
              <a:p>
                <a:pPr>
                  <a:defRPr/>
                </a:pPr>
                <a:r>
                  <a:rPr lang="en-GB" baseline="0"/>
                  <a:t> Success  %</a:t>
                </a:r>
                <a:endParaRPr lang="en-GB"/>
              </a:p>
            </c:rich>
          </c:tx>
        </c:title>
        <c:numFmt formatCode="General" sourceLinked="1"/>
        <c:tickLblPos val="nextTo"/>
        <c:crossAx val="131835392"/>
        <c:crosses val="autoZero"/>
        <c:crossBetween val="between"/>
      </c:valAx>
    </c:plotArea>
    <c:legend>
      <c:legendPos val="r"/>
    </c:legend>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Trend by Gender (MAS)</a:t>
            </a:r>
            <a:endParaRPr lang="en-GB"/>
          </a:p>
        </c:rich>
      </c:tx>
    </c:title>
    <c:plotArea>
      <c:layout>
        <c:manualLayout>
          <c:layoutTarget val="inner"/>
          <c:xMode val="edge"/>
          <c:yMode val="edge"/>
          <c:x val="0.13366907261592301"/>
          <c:y val="0.18091462525517643"/>
          <c:w val="0.64541382327209162"/>
          <c:h val="0.59104512977544299"/>
        </c:manualLayout>
      </c:layout>
      <c:lineChart>
        <c:grouping val="standard"/>
        <c:ser>
          <c:idx val="0"/>
          <c:order val="0"/>
          <c:tx>
            <c:strRef>
              <c:f>Sheet1!$A$5</c:f>
              <c:strCache>
                <c:ptCount val="1"/>
                <c:pt idx="0">
                  <c:v>Males</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55.5</c:v>
                </c:pt>
                <c:pt idx="1">
                  <c:v>49.8</c:v>
                </c:pt>
                <c:pt idx="2">
                  <c:v>47.7</c:v>
                </c:pt>
              </c:numCache>
            </c:numRef>
          </c:val>
        </c:ser>
        <c:ser>
          <c:idx val="1"/>
          <c:order val="1"/>
          <c:tx>
            <c:strRef>
              <c:f>Sheet1!$A$6</c:f>
              <c:strCache>
                <c:ptCount val="1"/>
                <c:pt idx="0">
                  <c:v>Females</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61.6</c:v>
                </c:pt>
                <c:pt idx="1">
                  <c:v>63.8</c:v>
                </c:pt>
                <c:pt idx="2">
                  <c:v>56.8</c:v>
                </c:pt>
              </c:numCache>
            </c:numRef>
          </c:val>
        </c:ser>
        <c:marker val="1"/>
        <c:axId val="131858816"/>
        <c:axId val="131860736"/>
      </c:lineChart>
      <c:catAx>
        <c:axId val="131858816"/>
        <c:scaling>
          <c:orientation val="minMax"/>
        </c:scaling>
        <c:axPos val="b"/>
        <c:title>
          <c:tx>
            <c:rich>
              <a:bodyPr/>
              <a:lstStyle/>
              <a:p>
                <a:pPr>
                  <a:defRPr/>
                </a:pPr>
                <a:r>
                  <a:rPr lang="en-GB"/>
                  <a:t>Academic</a:t>
                </a:r>
                <a:r>
                  <a:rPr lang="en-GB" baseline="0"/>
                  <a:t> Year</a:t>
                </a:r>
                <a:endParaRPr lang="en-GB"/>
              </a:p>
            </c:rich>
          </c:tx>
        </c:title>
        <c:tickLblPos val="nextTo"/>
        <c:crossAx val="131860736"/>
        <c:crosses val="autoZero"/>
        <c:auto val="1"/>
        <c:lblAlgn val="ctr"/>
        <c:lblOffset val="100"/>
      </c:catAx>
      <c:valAx>
        <c:axId val="131860736"/>
        <c:scaling>
          <c:orientation val="minMax"/>
        </c:scaling>
        <c:axPos val="l"/>
        <c:majorGridlines/>
        <c:title>
          <c:tx>
            <c:rich>
              <a:bodyPr rot="-5400000" vert="horz"/>
              <a:lstStyle/>
              <a:p>
                <a:pPr>
                  <a:defRPr/>
                </a:pPr>
                <a:r>
                  <a:rPr lang="en-GB" baseline="0"/>
                  <a:t> Success  %</a:t>
                </a:r>
                <a:endParaRPr lang="en-GB"/>
              </a:p>
            </c:rich>
          </c:tx>
          <c:layout>
            <c:manualLayout>
              <c:xMode val="edge"/>
              <c:yMode val="edge"/>
              <c:x val="2.2222222222222251E-2"/>
              <c:y val="0.37684237386993485"/>
            </c:manualLayout>
          </c:layout>
        </c:title>
        <c:numFmt formatCode="General" sourceLinked="1"/>
        <c:tickLblPos val="nextTo"/>
        <c:crossAx val="131858816"/>
        <c:crosses val="autoZero"/>
        <c:crossBetween val="between"/>
      </c:valAx>
    </c:plotArea>
    <c:legend>
      <c:legendPos val="r"/>
    </c:legend>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Trend by Gender (PVS)</a:t>
            </a:r>
            <a:endParaRPr lang="en-GB"/>
          </a:p>
        </c:rich>
      </c:tx>
    </c:title>
    <c:plotArea>
      <c:layout/>
      <c:lineChart>
        <c:grouping val="standard"/>
        <c:ser>
          <c:idx val="0"/>
          <c:order val="0"/>
          <c:tx>
            <c:strRef>
              <c:f>Sheet1!$A$5</c:f>
              <c:strCache>
                <c:ptCount val="1"/>
                <c:pt idx="0">
                  <c:v>Males</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70.099999999999994</c:v>
                </c:pt>
                <c:pt idx="1">
                  <c:v>84.4</c:v>
                </c:pt>
                <c:pt idx="2">
                  <c:v>90</c:v>
                </c:pt>
              </c:numCache>
            </c:numRef>
          </c:val>
        </c:ser>
        <c:ser>
          <c:idx val="1"/>
          <c:order val="1"/>
          <c:tx>
            <c:strRef>
              <c:f>Sheet1!$A$6</c:f>
              <c:strCache>
                <c:ptCount val="1"/>
                <c:pt idx="0">
                  <c:v>Females</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68.900000000000006</c:v>
                </c:pt>
                <c:pt idx="1">
                  <c:v>80.5</c:v>
                </c:pt>
                <c:pt idx="2">
                  <c:v>87.6</c:v>
                </c:pt>
              </c:numCache>
            </c:numRef>
          </c:val>
        </c:ser>
        <c:marker val="1"/>
        <c:axId val="131890176"/>
        <c:axId val="131916928"/>
      </c:lineChart>
      <c:catAx>
        <c:axId val="131890176"/>
        <c:scaling>
          <c:orientation val="minMax"/>
        </c:scaling>
        <c:axPos val="b"/>
        <c:title>
          <c:tx>
            <c:rich>
              <a:bodyPr/>
              <a:lstStyle/>
              <a:p>
                <a:pPr>
                  <a:defRPr/>
                </a:pPr>
                <a:r>
                  <a:rPr lang="en-GB"/>
                  <a:t>Academic</a:t>
                </a:r>
                <a:r>
                  <a:rPr lang="en-GB" baseline="0"/>
                  <a:t> Year</a:t>
                </a:r>
                <a:endParaRPr lang="en-GB"/>
              </a:p>
            </c:rich>
          </c:tx>
        </c:title>
        <c:tickLblPos val="nextTo"/>
        <c:crossAx val="131916928"/>
        <c:crosses val="autoZero"/>
        <c:auto val="1"/>
        <c:lblAlgn val="ctr"/>
        <c:lblOffset val="100"/>
      </c:catAx>
      <c:valAx>
        <c:axId val="131916928"/>
        <c:scaling>
          <c:orientation val="minMax"/>
        </c:scaling>
        <c:axPos val="l"/>
        <c:majorGridlines/>
        <c:title>
          <c:tx>
            <c:rich>
              <a:bodyPr rot="-5400000" vert="horz"/>
              <a:lstStyle/>
              <a:p>
                <a:pPr>
                  <a:defRPr/>
                </a:pPr>
                <a:r>
                  <a:rPr lang="en-GB" baseline="0"/>
                  <a:t> Success  %</a:t>
                </a:r>
                <a:endParaRPr lang="en-GB"/>
              </a:p>
            </c:rich>
          </c:tx>
        </c:title>
        <c:numFmt formatCode="General" sourceLinked="1"/>
        <c:tickLblPos val="nextTo"/>
        <c:crossAx val="131890176"/>
        <c:crosses val="autoZero"/>
        <c:crossBetween val="between"/>
      </c:valAx>
    </c:plotArea>
    <c:legend>
      <c:legendPos val="r"/>
    </c:legend>
    <c:plotVisOnly val="1"/>
    <c:dispBlanksAs val="gap"/>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Trend by Gender (SPS)</a:t>
            </a:r>
            <a:endParaRPr lang="en-GB"/>
          </a:p>
        </c:rich>
      </c:tx>
    </c:title>
    <c:plotArea>
      <c:layout/>
      <c:lineChart>
        <c:grouping val="standard"/>
        <c:ser>
          <c:idx val="0"/>
          <c:order val="0"/>
          <c:tx>
            <c:strRef>
              <c:f>Sheet1!$A$5</c:f>
              <c:strCache>
                <c:ptCount val="1"/>
                <c:pt idx="0">
                  <c:v>Males</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73.599999999999994</c:v>
                </c:pt>
                <c:pt idx="1">
                  <c:v>77.900000000000006</c:v>
                </c:pt>
                <c:pt idx="2">
                  <c:v>76.7</c:v>
                </c:pt>
              </c:numCache>
            </c:numRef>
          </c:val>
        </c:ser>
        <c:ser>
          <c:idx val="1"/>
          <c:order val="1"/>
          <c:tx>
            <c:strRef>
              <c:f>Sheet1!$A$6</c:f>
              <c:strCache>
                <c:ptCount val="1"/>
                <c:pt idx="0">
                  <c:v>Females</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71.900000000000006</c:v>
                </c:pt>
                <c:pt idx="1">
                  <c:v>80.599999999999994</c:v>
                </c:pt>
                <c:pt idx="2">
                  <c:v>72.7</c:v>
                </c:pt>
              </c:numCache>
            </c:numRef>
          </c:val>
        </c:ser>
        <c:marker val="1"/>
        <c:axId val="132143360"/>
        <c:axId val="132153728"/>
      </c:lineChart>
      <c:catAx>
        <c:axId val="132143360"/>
        <c:scaling>
          <c:orientation val="minMax"/>
        </c:scaling>
        <c:axPos val="b"/>
        <c:title>
          <c:tx>
            <c:rich>
              <a:bodyPr/>
              <a:lstStyle/>
              <a:p>
                <a:pPr>
                  <a:defRPr/>
                </a:pPr>
                <a:r>
                  <a:rPr lang="en-GB"/>
                  <a:t>Academic</a:t>
                </a:r>
                <a:r>
                  <a:rPr lang="en-GB" baseline="0"/>
                  <a:t> Year</a:t>
                </a:r>
                <a:endParaRPr lang="en-GB"/>
              </a:p>
            </c:rich>
          </c:tx>
        </c:title>
        <c:tickLblPos val="nextTo"/>
        <c:crossAx val="132153728"/>
        <c:crosses val="autoZero"/>
        <c:auto val="1"/>
        <c:lblAlgn val="ctr"/>
        <c:lblOffset val="100"/>
      </c:catAx>
      <c:valAx>
        <c:axId val="132153728"/>
        <c:scaling>
          <c:orientation val="minMax"/>
        </c:scaling>
        <c:axPos val="l"/>
        <c:majorGridlines/>
        <c:title>
          <c:tx>
            <c:rich>
              <a:bodyPr rot="-5400000" vert="horz"/>
              <a:lstStyle/>
              <a:p>
                <a:pPr>
                  <a:defRPr/>
                </a:pPr>
                <a:r>
                  <a:rPr lang="en-GB" baseline="0"/>
                  <a:t> Success  %</a:t>
                </a:r>
                <a:endParaRPr lang="en-GB"/>
              </a:p>
            </c:rich>
          </c:tx>
        </c:title>
        <c:numFmt formatCode="General" sourceLinked="1"/>
        <c:tickLblPos val="nextTo"/>
        <c:crossAx val="132143360"/>
        <c:crosses val="autoZero"/>
        <c:crossBetween val="between"/>
      </c:valAx>
    </c:plotArea>
    <c:legend>
      <c:legendPos val="r"/>
    </c:legend>
    <c:plotVisOnly val="1"/>
    <c:dispBlanksAs val="gap"/>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Trend by Gender (SSL)</a:t>
            </a:r>
            <a:endParaRPr lang="en-GB"/>
          </a:p>
        </c:rich>
      </c:tx>
    </c:title>
    <c:plotArea>
      <c:layout/>
      <c:lineChart>
        <c:grouping val="standard"/>
        <c:ser>
          <c:idx val="0"/>
          <c:order val="0"/>
          <c:tx>
            <c:strRef>
              <c:f>Sheet1!$A$5</c:f>
              <c:strCache>
                <c:ptCount val="1"/>
                <c:pt idx="0">
                  <c:v>Males</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60</c:v>
                </c:pt>
                <c:pt idx="1">
                  <c:v>62.5</c:v>
                </c:pt>
                <c:pt idx="2">
                  <c:v>80.400000000000006</c:v>
                </c:pt>
              </c:numCache>
            </c:numRef>
          </c:val>
        </c:ser>
        <c:ser>
          <c:idx val="1"/>
          <c:order val="1"/>
          <c:tx>
            <c:strRef>
              <c:f>Sheet1!$A$6</c:f>
              <c:strCache>
                <c:ptCount val="1"/>
                <c:pt idx="0">
                  <c:v>Females</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66.099999999999994</c:v>
                </c:pt>
                <c:pt idx="1">
                  <c:v>84</c:v>
                </c:pt>
                <c:pt idx="2">
                  <c:v>73.099999999999994</c:v>
                </c:pt>
              </c:numCache>
            </c:numRef>
          </c:val>
        </c:ser>
        <c:marker val="1"/>
        <c:axId val="132166784"/>
        <c:axId val="132168704"/>
      </c:lineChart>
      <c:catAx>
        <c:axId val="132166784"/>
        <c:scaling>
          <c:orientation val="minMax"/>
        </c:scaling>
        <c:axPos val="b"/>
        <c:title>
          <c:tx>
            <c:rich>
              <a:bodyPr/>
              <a:lstStyle/>
              <a:p>
                <a:pPr>
                  <a:defRPr/>
                </a:pPr>
                <a:r>
                  <a:rPr lang="en-GB"/>
                  <a:t>Academic</a:t>
                </a:r>
                <a:r>
                  <a:rPr lang="en-GB" baseline="0"/>
                  <a:t> Year</a:t>
                </a:r>
                <a:endParaRPr lang="en-GB"/>
              </a:p>
            </c:rich>
          </c:tx>
        </c:title>
        <c:tickLblPos val="nextTo"/>
        <c:crossAx val="132168704"/>
        <c:crosses val="autoZero"/>
        <c:auto val="1"/>
        <c:lblAlgn val="ctr"/>
        <c:lblOffset val="100"/>
      </c:catAx>
      <c:valAx>
        <c:axId val="132168704"/>
        <c:scaling>
          <c:orientation val="minMax"/>
        </c:scaling>
        <c:axPos val="l"/>
        <c:majorGridlines/>
        <c:title>
          <c:tx>
            <c:rich>
              <a:bodyPr rot="-5400000" vert="horz"/>
              <a:lstStyle/>
              <a:p>
                <a:pPr>
                  <a:defRPr/>
                </a:pPr>
                <a:r>
                  <a:rPr lang="en-GB" baseline="0"/>
                  <a:t> Success  %</a:t>
                </a:r>
                <a:endParaRPr lang="en-GB"/>
              </a:p>
            </c:rich>
          </c:tx>
        </c:title>
        <c:numFmt formatCode="General" sourceLinked="1"/>
        <c:tickLblPos val="nextTo"/>
        <c:crossAx val="132166784"/>
        <c:crosses val="autoZero"/>
        <c:crossBetween val="between"/>
      </c:valAx>
    </c:plotArea>
    <c:legend>
      <c:legendPos val="r"/>
    </c:legend>
    <c:plotVisOnly val="1"/>
    <c:dispBlanksAs val="gap"/>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Trend by Gender (UFI)</a:t>
            </a:r>
            <a:endParaRPr lang="en-GB"/>
          </a:p>
        </c:rich>
      </c:tx>
    </c:title>
    <c:plotArea>
      <c:layout/>
      <c:lineChart>
        <c:grouping val="standard"/>
        <c:ser>
          <c:idx val="0"/>
          <c:order val="0"/>
          <c:tx>
            <c:strRef>
              <c:f>Sheet1!$A$5</c:f>
              <c:strCache>
                <c:ptCount val="1"/>
                <c:pt idx="0">
                  <c:v>Males</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90</c:v>
                </c:pt>
                <c:pt idx="1">
                  <c:v>85.7</c:v>
                </c:pt>
                <c:pt idx="2">
                  <c:v>87.5</c:v>
                </c:pt>
              </c:numCache>
            </c:numRef>
          </c:val>
        </c:ser>
        <c:ser>
          <c:idx val="1"/>
          <c:order val="1"/>
          <c:tx>
            <c:strRef>
              <c:f>Sheet1!$A$6</c:f>
              <c:strCache>
                <c:ptCount val="1"/>
                <c:pt idx="0">
                  <c:v>Females</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84.6</c:v>
                </c:pt>
                <c:pt idx="1">
                  <c:v>83.9</c:v>
                </c:pt>
                <c:pt idx="2">
                  <c:v>77.8</c:v>
                </c:pt>
              </c:numCache>
            </c:numRef>
          </c:val>
        </c:ser>
        <c:marker val="1"/>
        <c:axId val="132214784"/>
        <c:axId val="132216704"/>
      </c:lineChart>
      <c:catAx>
        <c:axId val="132214784"/>
        <c:scaling>
          <c:orientation val="minMax"/>
        </c:scaling>
        <c:axPos val="b"/>
        <c:title>
          <c:tx>
            <c:rich>
              <a:bodyPr/>
              <a:lstStyle/>
              <a:p>
                <a:pPr>
                  <a:defRPr/>
                </a:pPr>
                <a:r>
                  <a:rPr lang="en-GB"/>
                  <a:t>Academic</a:t>
                </a:r>
                <a:r>
                  <a:rPr lang="en-GB" baseline="0"/>
                  <a:t> Year</a:t>
                </a:r>
                <a:endParaRPr lang="en-GB"/>
              </a:p>
            </c:rich>
          </c:tx>
        </c:title>
        <c:tickLblPos val="nextTo"/>
        <c:crossAx val="132216704"/>
        <c:crosses val="autoZero"/>
        <c:auto val="1"/>
        <c:lblAlgn val="ctr"/>
        <c:lblOffset val="100"/>
      </c:catAx>
      <c:valAx>
        <c:axId val="132216704"/>
        <c:scaling>
          <c:orientation val="minMax"/>
        </c:scaling>
        <c:axPos val="l"/>
        <c:majorGridlines/>
        <c:title>
          <c:tx>
            <c:rich>
              <a:bodyPr rot="-5400000" vert="horz"/>
              <a:lstStyle/>
              <a:p>
                <a:pPr>
                  <a:defRPr/>
                </a:pPr>
                <a:r>
                  <a:rPr lang="en-GB" baseline="0"/>
                  <a:t> Success  %</a:t>
                </a:r>
                <a:endParaRPr lang="en-GB"/>
              </a:p>
            </c:rich>
          </c:tx>
        </c:title>
        <c:numFmt formatCode="General" sourceLinked="1"/>
        <c:tickLblPos val="nextTo"/>
        <c:crossAx val="13221478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Gender</a:t>
            </a:r>
            <a:r>
              <a:rPr lang="en-GB" baseline="0"/>
              <a:t> Success by School 2007-2008</a:t>
            </a:r>
            <a:endParaRPr lang="en-GB"/>
          </a:p>
        </c:rich>
      </c:tx>
      <c:layout/>
    </c:title>
    <c:view3D>
      <c:rAngAx val="1"/>
    </c:view3D>
    <c:plotArea>
      <c:layout/>
      <c:bar3DChart>
        <c:barDir val="bar"/>
        <c:grouping val="clustered"/>
        <c:ser>
          <c:idx val="0"/>
          <c:order val="0"/>
          <c:tx>
            <c:strRef>
              <c:f>Sheet1!$B$3</c:f>
              <c:strCache>
                <c:ptCount val="1"/>
                <c:pt idx="0">
                  <c:v>Males</c:v>
                </c:pt>
              </c:strCache>
            </c:strRef>
          </c:tx>
          <c:cat>
            <c:strRef>
              <c:f>Sheet1!$A$4:$A$20</c:f>
              <c:strCache>
                <c:ptCount val="17"/>
                <c:pt idx="0">
                  <c:v>ACE</c:v>
                </c:pt>
                <c:pt idx="1">
                  <c:v>AE</c:v>
                </c:pt>
                <c:pt idx="2">
                  <c:v>CBE</c:v>
                </c:pt>
                <c:pt idx="3">
                  <c:v>BTH</c:v>
                </c:pt>
                <c:pt idx="4">
                  <c:v>CIT</c:v>
                </c:pt>
                <c:pt idx="5">
                  <c:v>CVP</c:v>
                </c:pt>
                <c:pt idx="6">
                  <c:v>ENG</c:v>
                </c:pt>
                <c:pt idx="7">
                  <c:v>HAT</c:v>
                </c:pt>
                <c:pt idx="8">
                  <c:v>HSC</c:v>
                </c:pt>
                <c:pt idx="9">
                  <c:v>PWT</c:v>
                </c:pt>
                <c:pt idx="10">
                  <c:v>IBC</c:v>
                </c:pt>
                <c:pt idx="11">
                  <c:v>IES</c:v>
                </c:pt>
                <c:pt idx="12">
                  <c:v>MAS</c:v>
                </c:pt>
                <c:pt idx="13">
                  <c:v>PVS</c:v>
                </c:pt>
                <c:pt idx="14">
                  <c:v>SPS</c:v>
                </c:pt>
                <c:pt idx="15">
                  <c:v>SSL</c:v>
                </c:pt>
                <c:pt idx="16">
                  <c:v>UFI</c:v>
                </c:pt>
              </c:strCache>
            </c:strRef>
          </c:cat>
          <c:val>
            <c:numRef>
              <c:f>Sheet1!$B$4:$B$20</c:f>
              <c:numCache>
                <c:formatCode>0.0%</c:formatCode>
                <c:ptCount val="17"/>
                <c:pt idx="0">
                  <c:v>0.98299999999999998</c:v>
                </c:pt>
                <c:pt idx="1">
                  <c:v>0.71500000000000064</c:v>
                </c:pt>
                <c:pt idx="2">
                  <c:v>0.56399999999999995</c:v>
                </c:pt>
                <c:pt idx="3">
                  <c:v>0.58599999999999997</c:v>
                </c:pt>
                <c:pt idx="4">
                  <c:v>0.51800000000000002</c:v>
                </c:pt>
                <c:pt idx="5">
                  <c:v>0.32700000000000162</c:v>
                </c:pt>
                <c:pt idx="6">
                  <c:v>0.66000000000000381</c:v>
                </c:pt>
                <c:pt idx="7">
                  <c:v>0.48800000000000032</c:v>
                </c:pt>
                <c:pt idx="8">
                  <c:v>0.70300000000000062</c:v>
                </c:pt>
                <c:pt idx="10">
                  <c:v>0.86300000000000165</c:v>
                </c:pt>
                <c:pt idx="11">
                  <c:v>0.2</c:v>
                </c:pt>
                <c:pt idx="12">
                  <c:v>0.55500000000000005</c:v>
                </c:pt>
                <c:pt idx="13">
                  <c:v>0.70100000000000062</c:v>
                </c:pt>
                <c:pt idx="14">
                  <c:v>0.73600000000000065</c:v>
                </c:pt>
                <c:pt idx="15">
                  <c:v>0.60000000000000064</c:v>
                </c:pt>
                <c:pt idx="16">
                  <c:v>0.9</c:v>
                </c:pt>
              </c:numCache>
            </c:numRef>
          </c:val>
        </c:ser>
        <c:ser>
          <c:idx val="1"/>
          <c:order val="1"/>
          <c:tx>
            <c:strRef>
              <c:f>Sheet1!$C$3</c:f>
              <c:strCache>
                <c:ptCount val="1"/>
                <c:pt idx="0">
                  <c:v>Females</c:v>
                </c:pt>
              </c:strCache>
            </c:strRef>
          </c:tx>
          <c:cat>
            <c:strRef>
              <c:f>Sheet1!$A$4:$A$20</c:f>
              <c:strCache>
                <c:ptCount val="17"/>
                <c:pt idx="0">
                  <c:v>ACE</c:v>
                </c:pt>
                <c:pt idx="1">
                  <c:v>AE</c:v>
                </c:pt>
                <c:pt idx="2">
                  <c:v>CBE</c:v>
                </c:pt>
                <c:pt idx="3">
                  <c:v>BTH</c:v>
                </c:pt>
                <c:pt idx="4">
                  <c:v>CIT</c:v>
                </c:pt>
                <c:pt idx="5">
                  <c:v>CVP</c:v>
                </c:pt>
                <c:pt idx="6">
                  <c:v>ENG</c:v>
                </c:pt>
                <c:pt idx="7">
                  <c:v>HAT</c:v>
                </c:pt>
                <c:pt idx="8">
                  <c:v>HSC</c:v>
                </c:pt>
                <c:pt idx="9">
                  <c:v>PWT</c:v>
                </c:pt>
                <c:pt idx="10">
                  <c:v>IBC</c:v>
                </c:pt>
                <c:pt idx="11">
                  <c:v>IES</c:v>
                </c:pt>
                <c:pt idx="12">
                  <c:v>MAS</c:v>
                </c:pt>
                <c:pt idx="13">
                  <c:v>PVS</c:v>
                </c:pt>
                <c:pt idx="14">
                  <c:v>SPS</c:v>
                </c:pt>
                <c:pt idx="15">
                  <c:v>SSL</c:v>
                </c:pt>
                <c:pt idx="16">
                  <c:v>UFI</c:v>
                </c:pt>
              </c:strCache>
            </c:strRef>
          </c:cat>
          <c:val>
            <c:numRef>
              <c:f>Sheet1!$C$4:$C$20</c:f>
              <c:numCache>
                <c:formatCode>0.0%</c:formatCode>
                <c:ptCount val="17"/>
                <c:pt idx="0">
                  <c:v>0.64700000000000324</c:v>
                </c:pt>
                <c:pt idx="1">
                  <c:v>0.76600000000000323</c:v>
                </c:pt>
                <c:pt idx="2">
                  <c:v>0.42200000000000032</c:v>
                </c:pt>
                <c:pt idx="3">
                  <c:v>0.64300000000000324</c:v>
                </c:pt>
                <c:pt idx="4">
                  <c:v>0.56299999999999994</c:v>
                </c:pt>
                <c:pt idx="5">
                  <c:v>0.40100000000000002</c:v>
                </c:pt>
                <c:pt idx="6">
                  <c:v>0.49000000000000032</c:v>
                </c:pt>
                <c:pt idx="7">
                  <c:v>0.66300000000000381</c:v>
                </c:pt>
                <c:pt idx="8">
                  <c:v>0.69399999999999995</c:v>
                </c:pt>
                <c:pt idx="10">
                  <c:v>0.91</c:v>
                </c:pt>
                <c:pt idx="11">
                  <c:v>0.27700000000000002</c:v>
                </c:pt>
                <c:pt idx="12">
                  <c:v>0.61600000000000288</c:v>
                </c:pt>
                <c:pt idx="13">
                  <c:v>0.68899999999999995</c:v>
                </c:pt>
                <c:pt idx="14">
                  <c:v>0.71900000000000064</c:v>
                </c:pt>
                <c:pt idx="15">
                  <c:v>0.66100000000000381</c:v>
                </c:pt>
                <c:pt idx="16">
                  <c:v>0.84600000000000064</c:v>
                </c:pt>
              </c:numCache>
            </c:numRef>
          </c:val>
        </c:ser>
        <c:shape val="box"/>
        <c:axId val="91220224"/>
        <c:axId val="91234688"/>
        <c:axId val="0"/>
      </c:bar3DChart>
      <c:catAx>
        <c:axId val="91220224"/>
        <c:scaling>
          <c:orientation val="minMax"/>
        </c:scaling>
        <c:axPos val="l"/>
        <c:title>
          <c:tx>
            <c:rich>
              <a:bodyPr rot="-5400000" vert="horz"/>
              <a:lstStyle/>
              <a:p>
                <a:pPr>
                  <a:defRPr/>
                </a:pPr>
                <a:r>
                  <a:rPr lang="en-GB"/>
                  <a:t>School</a:t>
                </a:r>
              </a:p>
            </c:rich>
          </c:tx>
          <c:layout/>
        </c:title>
        <c:tickLblPos val="nextTo"/>
        <c:crossAx val="91234688"/>
        <c:crosses val="autoZero"/>
        <c:auto val="1"/>
        <c:lblAlgn val="ctr"/>
        <c:lblOffset val="100"/>
      </c:catAx>
      <c:valAx>
        <c:axId val="91234688"/>
        <c:scaling>
          <c:orientation val="minMax"/>
        </c:scaling>
        <c:axPos val="b"/>
        <c:majorGridlines/>
        <c:title>
          <c:tx>
            <c:rich>
              <a:bodyPr/>
              <a:lstStyle/>
              <a:p>
                <a:pPr>
                  <a:defRPr/>
                </a:pPr>
                <a:r>
                  <a:rPr lang="en-GB"/>
                  <a:t>Success</a:t>
                </a:r>
                <a:r>
                  <a:rPr lang="en-GB" baseline="0"/>
                  <a:t> %</a:t>
                </a:r>
                <a:endParaRPr lang="en-GB"/>
              </a:p>
            </c:rich>
          </c:tx>
          <c:layout/>
        </c:title>
        <c:numFmt formatCode="0.0%" sourceLinked="1"/>
        <c:tickLblPos val="nextTo"/>
        <c:crossAx val="91220224"/>
        <c:crosses val="autoZero"/>
        <c:crossBetween val="between"/>
      </c:valAx>
    </c:plotArea>
    <c:legend>
      <c:legendPos val="r"/>
      <c:layout/>
    </c:legend>
    <c:plotVisOnly val="1"/>
    <c:dispBlanksAs val="gap"/>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style val="44"/>
  <c:chart>
    <c:title>
      <c:tx>
        <c:rich>
          <a:bodyPr/>
          <a:lstStyle/>
          <a:p>
            <a:pPr>
              <a:defRPr/>
            </a:pPr>
            <a:r>
              <a:rPr lang="en-GB"/>
              <a:t>Success</a:t>
            </a:r>
            <a:r>
              <a:rPr lang="en-GB" baseline="0"/>
              <a:t> by Ethnicity for Males </a:t>
            </a:r>
            <a:endParaRPr lang="en-GB"/>
          </a:p>
        </c:rich>
      </c:tx>
      <c:layout>
        <c:manualLayout>
          <c:xMode val="edge"/>
          <c:yMode val="edge"/>
          <c:x val="0.24582633420822445"/>
          <c:y val="4.1666666666666664E-2"/>
        </c:manualLayout>
      </c:layout>
    </c:title>
    <c:view3D>
      <c:rAngAx val="1"/>
    </c:view3D>
    <c:plotArea>
      <c:layout/>
      <c:bar3DChart>
        <c:barDir val="col"/>
        <c:grouping val="clustered"/>
        <c:ser>
          <c:idx val="0"/>
          <c:order val="0"/>
          <c:cat>
            <c:strRef>
              <c:f>Sheet1!$A$6:$A$22</c:f>
              <c:strCache>
                <c:ptCount val="17"/>
                <c:pt idx="0">
                  <c:v>Null</c:v>
                </c:pt>
                <c:pt idx="1">
                  <c:v>White</c:v>
                </c:pt>
                <c:pt idx="2">
                  <c:v>Caribbean</c:v>
                </c:pt>
                <c:pt idx="3">
                  <c:v>African</c:v>
                </c:pt>
                <c:pt idx="4">
                  <c:v>Other Black</c:v>
                </c:pt>
                <c:pt idx="5">
                  <c:v>Indian</c:v>
                </c:pt>
                <c:pt idx="6">
                  <c:v>Pakistani</c:v>
                </c:pt>
                <c:pt idx="7">
                  <c:v>Bangladeshi</c:v>
                </c:pt>
                <c:pt idx="8">
                  <c:v>Chinese</c:v>
                </c:pt>
                <c:pt idx="9">
                  <c:v>Other Asian</c:v>
                </c:pt>
                <c:pt idx="10">
                  <c:v>White/Caribbean</c:v>
                </c:pt>
                <c:pt idx="11">
                  <c:v>White/African</c:v>
                </c:pt>
                <c:pt idx="12">
                  <c:v>White/ Asian</c:v>
                </c:pt>
                <c:pt idx="13">
                  <c:v>Other Mixed</c:v>
                </c:pt>
                <c:pt idx="14">
                  <c:v>Other Ethnic</c:v>
                </c:pt>
                <c:pt idx="15">
                  <c:v>Info Refused</c:v>
                </c:pt>
                <c:pt idx="16">
                  <c:v>Not Known</c:v>
                </c:pt>
              </c:strCache>
            </c:strRef>
          </c:cat>
          <c:val>
            <c:numRef>
              <c:f>Sheet1!$B$6:$B$22</c:f>
              <c:numCache>
                <c:formatCode>General</c:formatCode>
                <c:ptCount val="17"/>
                <c:pt idx="1">
                  <c:v>59.6</c:v>
                </c:pt>
                <c:pt idx="2">
                  <c:v>70.7</c:v>
                </c:pt>
                <c:pt idx="3">
                  <c:v>4</c:v>
                </c:pt>
                <c:pt idx="4">
                  <c:v>0</c:v>
                </c:pt>
                <c:pt idx="5">
                  <c:v>70</c:v>
                </c:pt>
                <c:pt idx="6">
                  <c:v>59.7</c:v>
                </c:pt>
                <c:pt idx="7">
                  <c:v>67.400000000000006</c:v>
                </c:pt>
                <c:pt idx="8">
                  <c:v>81.8</c:v>
                </c:pt>
                <c:pt idx="9">
                  <c:v>65.8</c:v>
                </c:pt>
                <c:pt idx="10">
                  <c:v>57.1</c:v>
                </c:pt>
                <c:pt idx="11">
                  <c:v>0</c:v>
                </c:pt>
                <c:pt idx="12">
                  <c:v>71.400000000000006</c:v>
                </c:pt>
                <c:pt idx="13">
                  <c:v>100</c:v>
                </c:pt>
                <c:pt idx="14">
                  <c:v>77.8</c:v>
                </c:pt>
                <c:pt idx="15">
                  <c:v>100</c:v>
                </c:pt>
                <c:pt idx="16">
                  <c:v>56.1</c:v>
                </c:pt>
              </c:numCache>
            </c:numRef>
          </c:val>
        </c:ser>
        <c:shape val="box"/>
        <c:axId val="138551296"/>
        <c:axId val="138552832"/>
        <c:axId val="0"/>
      </c:bar3DChart>
      <c:catAx>
        <c:axId val="138551296"/>
        <c:scaling>
          <c:orientation val="minMax"/>
        </c:scaling>
        <c:axPos val="b"/>
        <c:tickLblPos val="nextTo"/>
        <c:crossAx val="138552832"/>
        <c:crosses val="autoZero"/>
        <c:auto val="1"/>
        <c:lblAlgn val="ctr"/>
        <c:lblOffset val="100"/>
      </c:catAx>
      <c:valAx>
        <c:axId val="138552832"/>
        <c:scaling>
          <c:orientation val="minMax"/>
        </c:scaling>
        <c:axPos val="l"/>
        <c:majorGridlines/>
        <c:title>
          <c:tx>
            <c:rich>
              <a:bodyPr rot="-5400000" vert="horz"/>
              <a:lstStyle/>
              <a:p>
                <a:pPr>
                  <a:defRPr/>
                </a:pPr>
                <a:r>
                  <a:rPr lang="en-GB" baseline="0"/>
                  <a:t> Success  %</a:t>
                </a:r>
                <a:endParaRPr lang="en-GB"/>
              </a:p>
            </c:rich>
          </c:tx>
        </c:title>
        <c:numFmt formatCode="General" sourceLinked="1"/>
        <c:tickLblPos val="nextTo"/>
        <c:crossAx val="138551296"/>
        <c:crosses val="autoZero"/>
        <c:crossBetween val="between"/>
      </c:valAx>
    </c:plotArea>
    <c:plotVisOnly val="1"/>
    <c:dispBlanksAs val="gap"/>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by Ethnicity for  Females</a:t>
            </a:r>
            <a:endParaRPr lang="en-GB"/>
          </a:p>
        </c:rich>
      </c:tx>
      <c:layout>
        <c:manualLayout>
          <c:xMode val="edge"/>
          <c:yMode val="edge"/>
          <c:x val="0.21243744531933606"/>
          <c:y val="4.1666666666666664E-2"/>
        </c:manualLayout>
      </c:layout>
    </c:title>
    <c:view3D>
      <c:rAngAx val="1"/>
    </c:view3D>
    <c:plotArea>
      <c:layout/>
      <c:bar3DChart>
        <c:barDir val="col"/>
        <c:grouping val="clustered"/>
        <c:ser>
          <c:idx val="0"/>
          <c:order val="0"/>
          <c:cat>
            <c:strRef>
              <c:f>Sheet1!$A$6:$A$22</c:f>
              <c:strCache>
                <c:ptCount val="17"/>
                <c:pt idx="0">
                  <c:v>Null</c:v>
                </c:pt>
                <c:pt idx="1">
                  <c:v>White</c:v>
                </c:pt>
                <c:pt idx="2">
                  <c:v>Caribbean</c:v>
                </c:pt>
                <c:pt idx="3">
                  <c:v>African</c:v>
                </c:pt>
                <c:pt idx="4">
                  <c:v>Other Black</c:v>
                </c:pt>
                <c:pt idx="5">
                  <c:v>Indian</c:v>
                </c:pt>
                <c:pt idx="6">
                  <c:v>Pakistani</c:v>
                </c:pt>
                <c:pt idx="7">
                  <c:v>Bangladeshi</c:v>
                </c:pt>
                <c:pt idx="8">
                  <c:v>Chinese</c:v>
                </c:pt>
                <c:pt idx="9">
                  <c:v>Other Asian</c:v>
                </c:pt>
                <c:pt idx="10">
                  <c:v>White/Caribbean</c:v>
                </c:pt>
                <c:pt idx="11">
                  <c:v>White/African</c:v>
                </c:pt>
                <c:pt idx="12">
                  <c:v>White/Asian</c:v>
                </c:pt>
                <c:pt idx="13">
                  <c:v>Other Mixed</c:v>
                </c:pt>
                <c:pt idx="14">
                  <c:v>Other Ethnic</c:v>
                </c:pt>
                <c:pt idx="15">
                  <c:v>Info Refused</c:v>
                </c:pt>
                <c:pt idx="16">
                  <c:v>Not Known</c:v>
                </c:pt>
              </c:strCache>
            </c:strRef>
          </c:cat>
          <c:val>
            <c:numRef>
              <c:f>Sheet1!$B$6:$B$22</c:f>
              <c:numCache>
                <c:formatCode>General</c:formatCode>
                <c:ptCount val="17"/>
                <c:pt idx="0">
                  <c:v>50</c:v>
                </c:pt>
                <c:pt idx="1">
                  <c:v>65.8</c:v>
                </c:pt>
                <c:pt idx="2">
                  <c:v>66.7</c:v>
                </c:pt>
                <c:pt idx="3">
                  <c:v>50</c:v>
                </c:pt>
                <c:pt idx="4">
                  <c:v>50</c:v>
                </c:pt>
                <c:pt idx="5">
                  <c:v>59</c:v>
                </c:pt>
                <c:pt idx="6">
                  <c:v>85.7</c:v>
                </c:pt>
                <c:pt idx="7">
                  <c:v>66.099999999999994</c:v>
                </c:pt>
                <c:pt idx="8">
                  <c:v>70.599999999999994</c:v>
                </c:pt>
                <c:pt idx="9">
                  <c:v>76</c:v>
                </c:pt>
                <c:pt idx="10">
                  <c:v>77.8</c:v>
                </c:pt>
                <c:pt idx="12">
                  <c:v>90</c:v>
                </c:pt>
                <c:pt idx="13">
                  <c:v>100</c:v>
                </c:pt>
                <c:pt idx="14">
                  <c:v>40</c:v>
                </c:pt>
                <c:pt idx="15">
                  <c:v>68.400000000000006</c:v>
                </c:pt>
                <c:pt idx="16">
                  <c:v>69.400000000000006</c:v>
                </c:pt>
              </c:numCache>
            </c:numRef>
          </c:val>
        </c:ser>
        <c:shape val="box"/>
        <c:axId val="138569216"/>
        <c:axId val="138570752"/>
        <c:axId val="0"/>
      </c:bar3DChart>
      <c:catAx>
        <c:axId val="138569216"/>
        <c:scaling>
          <c:orientation val="minMax"/>
        </c:scaling>
        <c:axPos val="b"/>
        <c:tickLblPos val="nextTo"/>
        <c:crossAx val="138570752"/>
        <c:crosses val="autoZero"/>
        <c:auto val="1"/>
        <c:lblAlgn val="ctr"/>
        <c:lblOffset val="100"/>
      </c:catAx>
      <c:valAx>
        <c:axId val="138570752"/>
        <c:scaling>
          <c:orientation val="minMax"/>
        </c:scaling>
        <c:axPos val="l"/>
        <c:majorGridlines/>
        <c:title>
          <c:tx>
            <c:rich>
              <a:bodyPr rot="-5400000" vert="horz"/>
              <a:lstStyle/>
              <a:p>
                <a:pPr>
                  <a:defRPr/>
                </a:pPr>
                <a:r>
                  <a:rPr lang="en-GB" baseline="0"/>
                  <a:t>Success  %</a:t>
                </a:r>
                <a:endParaRPr lang="en-GB"/>
              </a:p>
            </c:rich>
          </c:tx>
        </c:title>
        <c:numFmt formatCode="General" sourceLinked="1"/>
        <c:tickLblPos val="nextTo"/>
        <c:crossAx val="138569216"/>
        <c:crosses val="autoZero"/>
        <c:crossBetween val="between"/>
      </c:valAx>
    </c:plotArea>
    <c:plotVisOnly val="1"/>
    <c:dispBlanksAs val="gap"/>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by Ethnicity for Males</a:t>
            </a:r>
            <a:endParaRPr lang="en-GB"/>
          </a:p>
        </c:rich>
      </c:tx>
      <c:layout>
        <c:manualLayout>
          <c:xMode val="edge"/>
          <c:yMode val="edge"/>
          <c:x val="0.24027077865266838"/>
          <c:y val="5.0925925925925923E-2"/>
        </c:manualLayout>
      </c:layout>
    </c:title>
    <c:view3D>
      <c:rAngAx val="1"/>
    </c:view3D>
    <c:plotArea>
      <c:layout/>
      <c:bar3DChart>
        <c:barDir val="col"/>
        <c:grouping val="clustered"/>
        <c:ser>
          <c:idx val="0"/>
          <c:order val="0"/>
          <c:cat>
            <c:strRef>
              <c:f>Sheet1!$A$6:$A$22</c:f>
              <c:strCache>
                <c:ptCount val="17"/>
                <c:pt idx="0">
                  <c:v>Null</c:v>
                </c:pt>
                <c:pt idx="1">
                  <c:v>White</c:v>
                </c:pt>
                <c:pt idx="2">
                  <c:v>Caribbean</c:v>
                </c:pt>
                <c:pt idx="3">
                  <c:v>African</c:v>
                </c:pt>
                <c:pt idx="4">
                  <c:v>Other Black</c:v>
                </c:pt>
                <c:pt idx="5">
                  <c:v>Indian</c:v>
                </c:pt>
                <c:pt idx="6">
                  <c:v>Pakistani</c:v>
                </c:pt>
                <c:pt idx="7">
                  <c:v>Bangladeshi</c:v>
                </c:pt>
                <c:pt idx="8">
                  <c:v>Chinese</c:v>
                </c:pt>
                <c:pt idx="9">
                  <c:v>Other Asian</c:v>
                </c:pt>
                <c:pt idx="10">
                  <c:v>White/Caribbean</c:v>
                </c:pt>
                <c:pt idx="11">
                  <c:v>White/African</c:v>
                </c:pt>
                <c:pt idx="12">
                  <c:v>White/Asian</c:v>
                </c:pt>
                <c:pt idx="13">
                  <c:v>Other Mixed</c:v>
                </c:pt>
                <c:pt idx="14">
                  <c:v>Other Ethnic</c:v>
                </c:pt>
                <c:pt idx="15">
                  <c:v>Info Refused</c:v>
                </c:pt>
                <c:pt idx="16">
                  <c:v>Not Known</c:v>
                </c:pt>
              </c:strCache>
            </c:strRef>
          </c:cat>
          <c:val>
            <c:numRef>
              <c:f>Sheet1!$B$6:$B$22</c:f>
              <c:numCache>
                <c:formatCode>General</c:formatCode>
                <c:ptCount val="17"/>
                <c:pt idx="1">
                  <c:v>74.2</c:v>
                </c:pt>
                <c:pt idx="2">
                  <c:v>85.7</c:v>
                </c:pt>
                <c:pt idx="3">
                  <c:v>50</c:v>
                </c:pt>
                <c:pt idx="4">
                  <c:v>0</c:v>
                </c:pt>
                <c:pt idx="5">
                  <c:v>83.3</c:v>
                </c:pt>
                <c:pt idx="6">
                  <c:v>68.400000000000006</c:v>
                </c:pt>
                <c:pt idx="7">
                  <c:v>77.3</c:v>
                </c:pt>
                <c:pt idx="8">
                  <c:v>91.7</c:v>
                </c:pt>
                <c:pt idx="9">
                  <c:v>84</c:v>
                </c:pt>
                <c:pt idx="10">
                  <c:v>83.9</c:v>
                </c:pt>
                <c:pt idx="12">
                  <c:v>88.9</c:v>
                </c:pt>
                <c:pt idx="13">
                  <c:v>66.7</c:v>
                </c:pt>
                <c:pt idx="14">
                  <c:v>89.5</c:v>
                </c:pt>
                <c:pt idx="15">
                  <c:v>91.7</c:v>
                </c:pt>
                <c:pt idx="16">
                  <c:v>80.5</c:v>
                </c:pt>
              </c:numCache>
            </c:numRef>
          </c:val>
        </c:ser>
        <c:shape val="box"/>
        <c:axId val="138603520"/>
        <c:axId val="138621696"/>
        <c:axId val="0"/>
      </c:bar3DChart>
      <c:catAx>
        <c:axId val="138603520"/>
        <c:scaling>
          <c:orientation val="minMax"/>
        </c:scaling>
        <c:axPos val="b"/>
        <c:tickLblPos val="nextTo"/>
        <c:crossAx val="138621696"/>
        <c:crosses val="autoZero"/>
        <c:auto val="1"/>
        <c:lblAlgn val="ctr"/>
        <c:lblOffset val="100"/>
      </c:catAx>
      <c:valAx>
        <c:axId val="138621696"/>
        <c:scaling>
          <c:orientation val="minMax"/>
        </c:scaling>
        <c:axPos val="l"/>
        <c:majorGridlines/>
        <c:title>
          <c:tx>
            <c:rich>
              <a:bodyPr rot="-5400000" vert="horz"/>
              <a:lstStyle/>
              <a:p>
                <a:pPr>
                  <a:defRPr/>
                </a:pPr>
                <a:r>
                  <a:rPr lang="en-GB" baseline="0"/>
                  <a:t>Success  %</a:t>
                </a:r>
                <a:endParaRPr lang="en-GB"/>
              </a:p>
            </c:rich>
          </c:tx>
        </c:title>
        <c:numFmt formatCode="General" sourceLinked="1"/>
        <c:tickLblPos val="nextTo"/>
        <c:crossAx val="138603520"/>
        <c:crosses val="autoZero"/>
        <c:crossBetween val="between"/>
      </c:valAx>
    </c:plotArea>
    <c:plotVisOnly val="1"/>
    <c:dispBlanksAs val="gap"/>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by Ethnicity for Females</a:t>
            </a:r>
            <a:endParaRPr lang="en-GB"/>
          </a:p>
        </c:rich>
      </c:tx>
      <c:layout>
        <c:manualLayout>
          <c:xMode val="edge"/>
          <c:yMode val="edge"/>
          <c:x val="0.21253477690288711"/>
          <c:y val="5.0925925925925923E-2"/>
        </c:manualLayout>
      </c:layout>
    </c:title>
    <c:view3D>
      <c:rAngAx val="1"/>
    </c:view3D>
    <c:plotArea>
      <c:layout/>
      <c:bar3DChart>
        <c:barDir val="col"/>
        <c:grouping val="clustered"/>
        <c:ser>
          <c:idx val="0"/>
          <c:order val="0"/>
          <c:cat>
            <c:strRef>
              <c:f>Sheet1!$A$6:$A$22</c:f>
              <c:strCache>
                <c:ptCount val="17"/>
                <c:pt idx="0">
                  <c:v>Null</c:v>
                </c:pt>
                <c:pt idx="1">
                  <c:v>White</c:v>
                </c:pt>
                <c:pt idx="2">
                  <c:v>Caribbean</c:v>
                </c:pt>
                <c:pt idx="3">
                  <c:v>African</c:v>
                </c:pt>
                <c:pt idx="4">
                  <c:v>Other Black</c:v>
                </c:pt>
                <c:pt idx="5">
                  <c:v>Indian</c:v>
                </c:pt>
                <c:pt idx="6">
                  <c:v>Pakistani</c:v>
                </c:pt>
                <c:pt idx="7">
                  <c:v>Bangladeshi</c:v>
                </c:pt>
                <c:pt idx="8">
                  <c:v>Chinese</c:v>
                </c:pt>
                <c:pt idx="9">
                  <c:v>Other Asian</c:v>
                </c:pt>
                <c:pt idx="10">
                  <c:v>White/Caribbean</c:v>
                </c:pt>
                <c:pt idx="11">
                  <c:v>White/African</c:v>
                </c:pt>
                <c:pt idx="12">
                  <c:v>White/Asian</c:v>
                </c:pt>
                <c:pt idx="13">
                  <c:v>Other Mixed</c:v>
                </c:pt>
                <c:pt idx="14">
                  <c:v>Other Ethnic</c:v>
                </c:pt>
                <c:pt idx="15">
                  <c:v>Info Refused</c:v>
                </c:pt>
                <c:pt idx="16">
                  <c:v>Not Known</c:v>
                </c:pt>
              </c:strCache>
            </c:strRef>
          </c:cat>
          <c:val>
            <c:numRef>
              <c:f>Sheet1!$B$6:$B$22</c:f>
              <c:numCache>
                <c:formatCode>General</c:formatCode>
                <c:ptCount val="17"/>
                <c:pt idx="0">
                  <c:v>0</c:v>
                </c:pt>
                <c:pt idx="1">
                  <c:v>74.599999999999994</c:v>
                </c:pt>
                <c:pt idx="2">
                  <c:v>49.4</c:v>
                </c:pt>
                <c:pt idx="3">
                  <c:v>50</c:v>
                </c:pt>
                <c:pt idx="4">
                  <c:v>66.7</c:v>
                </c:pt>
                <c:pt idx="5">
                  <c:v>57.7</c:v>
                </c:pt>
                <c:pt idx="6">
                  <c:v>100</c:v>
                </c:pt>
                <c:pt idx="7">
                  <c:v>87</c:v>
                </c:pt>
                <c:pt idx="8">
                  <c:v>73.2</c:v>
                </c:pt>
                <c:pt idx="9">
                  <c:v>82.2</c:v>
                </c:pt>
                <c:pt idx="10">
                  <c:v>56.3</c:v>
                </c:pt>
                <c:pt idx="11">
                  <c:v>80</c:v>
                </c:pt>
                <c:pt idx="12">
                  <c:v>63.5</c:v>
                </c:pt>
                <c:pt idx="13">
                  <c:v>69.2</c:v>
                </c:pt>
                <c:pt idx="14">
                  <c:v>65</c:v>
                </c:pt>
                <c:pt idx="15">
                  <c:v>91.3</c:v>
                </c:pt>
                <c:pt idx="16">
                  <c:v>74.900000000000006</c:v>
                </c:pt>
              </c:numCache>
            </c:numRef>
          </c:val>
        </c:ser>
        <c:shape val="box"/>
        <c:axId val="138638080"/>
        <c:axId val="138639616"/>
        <c:axId val="0"/>
      </c:bar3DChart>
      <c:catAx>
        <c:axId val="138638080"/>
        <c:scaling>
          <c:orientation val="minMax"/>
        </c:scaling>
        <c:axPos val="b"/>
        <c:tickLblPos val="nextTo"/>
        <c:crossAx val="138639616"/>
        <c:crosses val="autoZero"/>
        <c:auto val="1"/>
        <c:lblAlgn val="ctr"/>
        <c:lblOffset val="100"/>
      </c:catAx>
      <c:valAx>
        <c:axId val="138639616"/>
        <c:scaling>
          <c:orientation val="minMax"/>
        </c:scaling>
        <c:axPos val="l"/>
        <c:majorGridlines/>
        <c:title>
          <c:tx>
            <c:rich>
              <a:bodyPr rot="-5400000" vert="horz"/>
              <a:lstStyle/>
              <a:p>
                <a:pPr>
                  <a:defRPr/>
                </a:pPr>
                <a:r>
                  <a:rPr lang="en-GB" baseline="0"/>
                  <a:t>Success  %</a:t>
                </a:r>
                <a:endParaRPr lang="en-GB"/>
              </a:p>
            </c:rich>
          </c:tx>
        </c:title>
        <c:numFmt formatCode="General" sourceLinked="1"/>
        <c:tickLblPos val="nextTo"/>
        <c:crossAx val="138638080"/>
        <c:crosses val="autoZero"/>
        <c:crossBetween val="between"/>
      </c:valAx>
    </c:plotArea>
    <c:plotVisOnly val="1"/>
    <c:dispBlanksAs val="gap"/>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by Ethnicity for Males</a:t>
            </a:r>
            <a:endParaRPr lang="en-GB"/>
          </a:p>
        </c:rich>
      </c:tx>
      <c:layout>
        <c:manualLayout>
          <c:xMode val="edge"/>
          <c:yMode val="edge"/>
          <c:x val="0.24582633420822445"/>
          <c:y val="6.0185185185185147E-2"/>
        </c:manualLayout>
      </c:layout>
    </c:title>
    <c:view3D>
      <c:rAngAx val="1"/>
    </c:view3D>
    <c:plotArea>
      <c:layout/>
      <c:bar3DChart>
        <c:barDir val="col"/>
        <c:grouping val="clustered"/>
        <c:ser>
          <c:idx val="0"/>
          <c:order val="0"/>
          <c:cat>
            <c:strRef>
              <c:f>Sheet1!$A$6:$A$22</c:f>
              <c:strCache>
                <c:ptCount val="17"/>
                <c:pt idx="0">
                  <c:v>Null</c:v>
                </c:pt>
                <c:pt idx="1">
                  <c:v>White</c:v>
                </c:pt>
                <c:pt idx="2">
                  <c:v>Caribbean</c:v>
                </c:pt>
                <c:pt idx="3">
                  <c:v>African</c:v>
                </c:pt>
                <c:pt idx="4">
                  <c:v>Other Black</c:v>
                </c:pt>
                <c:pt idx="5">
                  <c:v>Indian</c:v>
                </c:pt>
                <c:pt idx="6">
                  <c:v>Pakistani</c:v>
                </c:pt>
                <c:pt idx="7">
                  <c:v>Bangladeshi</c:v>
                </c:pt>
                <c:pt idx="8">
                  <c:v>Chinese</c:v>
                </c:pt>
                <c:pt idx="9">
                  <c:v>Other Asian</c:v>
                </c:pt>
                <c:pt idx="10">
                  <c:v>White/Caribbean</c:v>
                </c:pt>
                <c:pt idx="11">
                  <c:v>White/African</c:v>
                </c:pt>
                <c:pt idx="12">
                  <c:v>White/Asian</c:v>
                </c:pt>
                <c:pt idx="13">
                  <c:v>Other Mixed</c:v>
                </c:pt>
                <c:pt idx="14">
                  <c:v>Other Ethnic</c:v>
                </c:pt>
                <c:pt idx="15">
                  <c:v>Info Refused</c:v>
                </c:pt>
                <c:pt idx="16">
                  <c:v>Not Known</c:v>
                </c:pt>
              </c:strCache>
            </c:strRef>
          </c:cat>
          <c:val>
            <c:numRef>
              <c:f>Sheet1!$B$6:$B$22</c:f>
              <c:numCache>
                <c:formatCode>General</c:formatCode>
                <c:ptCount val="17"/>
                <c:pt idx="1">
                  <c:v>74.3</c:v>
                </c:pt>
                <c:pt idx="2">
                  <c:v>91.7</c:v>
                </c:pt>
                <c:pt idx="3">
                  <c:v>75</c:v>
                </c:pt>
                <c:pt idx="4">
                  <c:v>100</c:v>
                </c:pt>
                <c:pt idx="5">
                  <c:v>64.3</c:v>
                </c:pt>
                <c:pt idx="6">
                  <c:v>100</c:v>
                </c:pt>
                <c:pt idx="7">
                  <c:v>71.2</c:v>
                </c:pt>
                <c:pt idx="8">
                  <c:v>85.6</c:v>
                </c:pt>
                <c:pt idx="9">
                  <c:v>71</c:v>
                </c:pt>
                <c:pt idx="10">
                  <c:v>100</c:v>
                </c:pt>
                <c:pt idx="11">
                  <c:v>11.1</c:v>
                </c:pt>
                <c:pt idx="12">
                  <c:v>100</c:v>
                </c:pt>
                <c:pt idx="13">
                  <c:v>81.599999999999994</c:v>
                </c:pt>
                <c:pt idx="14">
                  <c:v>83</c:v>
                </c:pt>
                <c:pt idx="15">
                  <c:v>58.2</c:v>
                </c:pt>
                <c:pt idx="16">
                  <c:v>79.400000000000006</c:v>
                </c:pt>
              </c:numCache>
            </c:numRef>
          </c:val>
        </c:ser>
        <c:shape val="box"/>
        <c:axId val="138652288"/>
        <c:axId val="138674560"/>
        <c:axId val="0"/>
      </c:bar3DChart>
      <c:catAx>
        <c:axId val="138652288"/>
        <c:scaling>
          <c:orientation val="minMax"/>
        </c:scaling>
        <c:axPos val="b"/>
        <c:tickLblPos val="nextTo"/>
        <c:crossAx val="138674560"/>
        <c:crosses val="autoZero"/>
        <c:auto val="1"/>
        <c:lblAlgn val="ctr"/>
        <c:lblOffset val="100"/>
      </c:catAx>
      <c:valAx>
        <c:axId val="138674560"/>
        <c:scaling>
          <c:orientation val="minMax"/>
        </c:scaling>
        <c:axPos val="l"/>
        <c:majorGridlines/>
        <c:title>
          <c:tx>
            <c:rich>
              <a:bodyPr rot="-5400000" vert="horz"/>
              <a:lstStyle/>
              <a:p>
                <a:pPr>
                  <a:defRPr/>
                </a:pPr>
                <a:r>
                  <a:rPr lang="en-GB" baseline="0"/>
                  <a:t>Success  %</a:t>
                </a:r>
                <a:endParaRPr lang="en-GB"/>
              </a:p>
            </c:rich>
          </c:tx>
        </c:title>
        <c:numFmt formatCode="General" sourceLinked="1"/>
        <c:tickLblPos val="nextTo"/>
        <c:crossAx val="138652288"/>
        <c:crosses val="autoZero"/>
        <c:crossBetween val="between"/>
      </c:valAx>
    </c:plotArea>
    <c:plotVisOnly val="1"/>
    <c:dispBlanksAs val="gap"/>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by Ethnicity for Females</a:t>
            </a:r>
            <a:endParaRPr lang="en-GB"/>
          </a:p>
        </c:rich>
      </c:tx>
      <c:layout>
        <c:manualLayout>
          <c:xMode val="edge"/>
          <c:yMode val="edge"/>
          <c:x val="0.2153125546806649"/>
          <c:y val="5.0925925925925923E-2"/>
        </c:manualLayout>
      </c:layout>
    </c:title>
    <c:view3D>
      <c:rAngAx val="1"/>
    </c:view3D>
    <c:plotArea>
      <c:layout/>
      <c:bar3DChart>
        <c:barDir val="col"/>
        <c:grouping val="clustered"/>
        <c:ser>
          <c:idx val="0"/>
          <c:order val="0"/>
          <c:cat>
            <c:strRef>
              <c:f>Sheet1!$A$6:$A$22</c:f>
              <c:strCache>
                <c:ptCount val="17"/>
                <c:pt idx="0">
                  <c:v>Null</c:v>
                </c:pt>
                <c:pt idx="1">
                  <c:v>White</c:v>
                </c:pt>
                <c:pt idx="2">
                  <c:v>Caribbean</c:v>
                </c:pt>
                <c:pt idx="3">
                  <c:v>African</c:v>
                </c:pt>
                <c:pt idx="4">
                  <c:v>Other Black</c:v>
                </c:pt>
                <c:pt idx="5">
                  <c:v>Indian</c:v>
                </c:pt>
                <c:pt idx="6">
                  <c:v>Pakistani</c:v>
                </c:pt>
                <c:pt idx="7">
                  <c:v>Bangladeshi</c:v>
                </c:pt>
                <c:pt idx="8">
                  <c:v>Chinese</c:v>
                </c:pt>
                <c:pt idx="9">
                  <c:v>Other Asian</c:v>
                </c:pt>
                <c:pt idx="10">
                  <c:v>White/Caribbean</c:v>
                </c:pt>
                <c:pt idx="11">
                  <c:v>White/African</c:v>
                </c:pt>
                <c:pt idx="12">
                  <c:v>White/Asian</c:v>
                </c:pt>
                <c:pt idx="13">
                  <c:v>Other Mixed</c:v>
                </c:pt>
                <c:pt idx="14">
                  <c:v>Other Ethnic</c:v>
                </c:pt>
                <c:pt idx="15">
                  <c:v>Info Refused</c:v>
                </c:pt>
                <c:pt idx="16">
                  <c:v>Not Known</c:v>
                </c:pt>
              </c:strCache>
            </c:strRef>
          </c:cat>
          <c:val>
            <c:numRef>
              <c:f>Sheet1!$B$6:$B$22</c:f>
              <c:numCache>
                <c:formatCode>General</c:formatCode>
                <c:ptCount val="17"/>
                <c:pt idx="1">
                  <c:v>74</c:v>
                </c:pt>
                <c:pt idx="2">
                  <c:v>81.8</c:v>
                </c:pt>
                <c:pt idx="3">
                  <c:v>100</c:v>
                </c:pt>
                <c:pt idx="4">
                  <c:v>37.5</c:v>
                </c:pt>
                <c:pt idx="5">
                  <c:v>70.900000000000006</c:v>
                </c:pt>
                <c:pt idx="6">
                  <c:v>100</c:v>
                </c:pt>
                <c:pt idx="7">
                  <c:v>73</c:v>
                </c:pt>
                <c:pt idx="8">
                  <c:v>57.9</c:v>
                </c:pt>
                <c:pt idx="9">
                  <c:v>72.7</c:v>
                </c:pt>
                <c:pt idx="10">
                  <c:v>51</c:v>
                </c:pt>
                <c:pt idx="12">
                  <c:v>80.599999999999994</c:v>
                </c:pt>
                <c:pt idx="13">
                  <c:v>58.5</c:v>
                </c:pt>
                <c:pt idx="14">
                  <c:v>64.2</c:v>
                </c:pt>
                <c:pt idx="15">
                  <c:v>98.1</c:v>
                </c:pt>
                <c:pt idx="16">
                  <c:v>72.400000000000006</c:v>
                </c:pt>
              </c:numCache>
            </c:numRef>
          </c:val>
        </c:ser>
        <c:shape val="box"/>
        <c:axId val="138723712"/>
        <c:axId val="138725248"/>
        <c:axId val="0"/>
      </c:bar3DChart>
      <c:catAx>
        <c:axId val="138723712"/>
        <c:scaling>
          <c:orientation val="minMax"/>
        </c:scaling>
        <c:axPos val="b"/>
        <c:tickLblPos val="nextTo"/>
        <c:crossAx val="138725248"/>
        <c:crosses val="autoZero"/>
        <c:auto val="1"/>
        <c:lblAlgn val="ctr"/>
        <c:lblOffset val="100"/>
      </c:catAx>
      <c:valAx>
        <c:axId val="138725248"/>
        <c:scaling>
          <c:orientation val="minMax"/>
        </c:scaling>
        <c:axPos val="l"/>
        <c:majorGridlines/>
        <c:title>
          <c:tx>
            <c:rich>
              <a:bodyPr rot="-5400000" vert="horz"/>
              <a:lstStyle/>
              <a:p>
                <a:pPr>
                  <a:defRPr/>
                </a:pPr>
                <a:r>
                  <a:rPr lang="en-GB" baseline="0"/>
                  <a:t>Success  %</a:t>
                </a:r>
                <a:endParaRPr lang="en-GB"/>
              </a:p>
            </c:rich>
          </c:tx>
        </c:title>
        <c:numFmt formatCode="General" sourceLinked="1"/>
        <c:tickLblPos val="nextTo"/>
        <c:crossAx val="138723712"/>
        <c:crosses val="autoZero"/>
        <c:crossBetween val="between"/>
      </c:valAx>
    </c:plotArea>
    <c:plotVisOnly val="1"/>
    <c:dispBlanksAs val="gap"/>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 Trend</a:t>
            </a:r>
            <a:r>
              <a:rPr lang="en-GB" baseline="0"/>
              <a:t> by Ethnicity                  White</a:t>
            </a:r>
            <a:endParaRPr lang="en-GB"/>
          </a:p>
        </c:rich>
      </c:tx>
      <c:layout>
        <c:manualLayout>
          <c:xMode val="edge"/>
          <c:yMode val="edge"/>
          <c:x val="0.21838506853310041"/>
          <c:y val="4.3010752688172046E-2"/>
        </c:manualLayout>
      </c:layout>
    </c:title>
    <c:plotArea>
      <c:layout/>
      <c:lineChart>
        <c:grouping val="standard"/>
        <c:ser>
          <c:idx val="0"/>
          <c:order val="0"/>
          <c:tx>
            <c:strRef>
              <c:f>Sheet1!$A$4</c:f>
              <c:strCache>
                <c:ptCount val="1"/>
                <c:pt idx="0">
                  <c:v>Males</c:v>
                </c:pt>
              </c:strCache>
            </c:strRef>
          </c:tx>
          <c:marker>
            <c:symbol val="none"/>
          </c:marker>
          <c:cat>
            <c:strRef>
              <c:f>Sheet1!$B$3:$D$3</c:f>
              <c:strCache>
                <c:ptCount val="3"/>
                <c:pt idx="0">
                  <c:v>2007-2008</c:v>
                </c:pt>
                <c:pt idx="1">
                  <c:v>2008-2009</c:v>
                </c:pt>
                <c:pt idx="2">
                  <c:v>2009-2010</c:v>
                </c:pt>
              </c:strCache>
            </c:strRef>
          </c:cat>
          <c:val>
            <c:numRef>
              <c:f>Sheet1!$B$4:$D$4</c:f>
              <c:numCache>
                <c:formatCode>General</c:formatCode>
                <c:ptCount val="3"/>
                <c:pt idx="0">
                  <c:v>59.6</c:v>
                </c:pt>
                <c:pt idx="1">
                  <c:v>74.2</c:v>
                </c:pt>
                <c:pt idx="2">
                  <c:v>74.3</c:v>
                </c:pt>
              </c:numCache>
            </c:numRef>
          </c:val>
        </c:ser>
        <c:ser>
          <c:idx val="1"/>
          <c:order val="1"/>
          <c:tx>
            <c:strRef>
              <c:f>Sheet1!$A$5</c:f>
              <c:strCache>
                <c:ptCount val="1"/>
                <c:pt idx="0">
                  <c:v>Females</c:v>
                </c:pt>
              </c:strCache>
            </c:strRef>
          </c:tx>
          <c:marker>
            <c:symbol val="none"/>
          </c:marker>
          <c:cat>
            <c:strRef>
              <c:f>Sheet1!$B$3:$D$3</c:f>
              <c:strCache>
                <c:ptCount val="3"/>
                <c:pt idx="0">
                  <c:v>2007-2008</c:v>
                </c:pt>
                <c:pt idx="1">
                  <c:v>2008-2009</c:v>
                </c:pt>
                <c:pt idx="2">
                  <c:v>2009-2010</c:v>
                </c:pt>
              </c:strCache>
            </c:strRef>
          </c:cat>
          <c:val>
            <c:numRef>
              <c:f>Sheet1!$B$5:$D$5</c:f>
              <c:numCache>
                <c:formatCode>General</c:formatCode>
                <c:ptCount val="3"/>
                <c:pt idx="0">
                  <c:v>65.8</c:v>
                </c:pt>
                <c:pt idx="1">
                  <c:v>74.599999999999994</c:v>
                </c:pt>
                <c:pt idx="2">
                  <c:v>74</c:v>
                </c:pt>
              </c:numCache>
            </c:numRef>
          </c:val>
        </c:ser>
        <c:marker val="1"/>
        <c:axId val="138713344"/>
        <c:axId val="138768768"/>
      </c:lineChart>
      <c:catAx>
        <c:axId val="138713344"/>
        <c:scaling>
          <c:orientation val="minMax"/>
        </c:scaling>
        <c:axPos val="b"/>
        <c:title>
          <c:tx>
            <c:rich>
              <a:bodyPr/>
              <a:lstStyle/>
              <a:p>
                <a:pPr>
                  <a:defRPr/>
                </a:pPr>
                <a:r>
                  <a:rPr lang="en-GB"/>
                  <a:t>Academic</a:t>
                </a:r>
                <a:r>
                  <a:rPr lang="en-GB" baseline="0"/>
                  <a:t> Year</a:t>
                </a:r>
                <a:endParaRPr lang="en-GB"/>
              </a:p>
            </c:rich>
          </c:tx>
        </c:title>
        <c:tickLblPos val="nextTo"/>
        <c:crossAx val="138768768"/>
        <c:crosses val="autoZero"/>
        <c:auto val="1"/>
        <c:lblAlgn val="ctr"/>
        <c:lblOffset val="100"/>
      </c:catAx>
      <c:valAx>
        <c:axId val="138768768"/>
        <c:scaling>
          <c:orientation val="minMax"/>
        </c:scaling>
        <c:axPos val="l"/>
        <c:majorGridlines/>
        <c:title>
          <c:tx>
            <c:rich>
              <a:bodyPr rot="-5400000" vert="horz"/>
              <a:lstStyle/>
              <a:p>
                <a:pPr>
                  <a:defRPr/>
                </a:pPr>
                <a:r>
                  <a:rPr lang="en-GB" baseline="0"/>
                  <a:t>Success  %</a:t>
                </a:r>
                <a:endParaRPr lang="en-GB"/>
              </a:p>
            </c:rich>
          </c:tx>
        </c:title>
        <c:numFmt formatCode="General" sourceLinked="1"/>
        <c:tickLblPos val="nextTo"/>
        <c:crossAx val="138713344"/>
        <c:crosses val="autoZero"/>
        <c:crossBetween val="between"/>
      </c:valAx>
    </c:plotArea>
    <c:legend>
      <c:legendPos val="r"/>
    </c:legend>
    <c:plotVisOnly val="1"/>
    <c:dispBlanksAs val="gap"/>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Trend by Ethnicity                   Black Caribbean</a:t>
            </a:r>
            <a:endParaRPr lang="en-GB"/>
          </a:p>
        </c:rich>
      </c:tx>
      <c:layout>
        <c:manualLayout>
          <c:xMode val="edge"/>
          <c:yMode val="edge"/>
          <c:x val="0.22727395742198889"/>
          <c:y val="3.8787878787878906E-2"/>
        </c:manualLayout>
      </c:layout>
    </c:title>
    <c:plotArea>
      <c:layout/>
      <c:lineChart>
        <c:grouping val="standard"/>
        <c:ser>
          <c:idx val="0"/>
          <c:order val="0"/>
          <c:tx>
            <c:strRef>
              <c:f>Sheet1!$A$4</c:f>
              <c:strCache>
                <c:ptCount val="1"/>
                <c:pt idx="0">
                  <c:v>Males</c:v>
                </c:pt>
              </c:strCache>
            </c:strRef>
          </c:tx>
          <c:marker>
            <c:symbol val="none"/>
          </c:marker>
          <c:cat>
            <c:strRef>
              <c:f>Sheet1!$B$3:$D$3</c:f>
              <c:strCache>
                <c:ptCount val="3"/>
                <c:pt idx="0">
                  <c:v>2007-2008</c:v>
                </c:pt>
                <c:pt idx="1">
                  <c:v>2008-2009</c:v>
                </c:pt>
                <c:pt idx="2">
                  <c:v>2009-2010</c:v>
                </c:pt>
              </c:strCache>
            </c:strRef>
          </c:cat>
          <c:val>
            <c:numRef>
              <c:f>Sheet1!$B$4:$D$4</c:f>
              <c:numCache>
                <c:formatCode>General</c:formatCode>
                <c:ptCount val="3"/>
                <c:pt idx="0">
                  <c:v>70.7</c:v>
                </c:pt>
                <c:pt idx="1">
                  <c:v>85.7</c:v>
                </c:pt>
                <c:pt idx="2">
                  <c:v>91.7</c:v>
                </c:pt>
              </c:numCache>
            </c:numRef>
          </c:val>
        </c:ser>
        <c:ser>
          <c:idx val="1"/>
          <c:order val="1"/>
          <c:tx>
            <c:strRef>
              <c:f>Sheet1!$A$5</c:f>
              <c:strCache>
                <c:ptCount val="1"/>
                <c:pt idx="0">
                  <c:v>Females</c:v>
                </c:pt>
              </c:strCache>
            </c:strRef>
          </c:tx>
          <c:marker>
            <c:symbol val="none"/>
          </c:marker>
          <c:cat>
            <c:strRef>
              <c:f>Sheet1!$B$3:$D$3</c:f>
              <c:strCache>
                <c:ptCount val="3"/>
                <c:pt idx="0">
                  <c:v>2007-2008</c:v>
                </c:pt>
                <c:pt idx="1">
                  <c:v>2008-2009</c:v>
                </c:pt>
                <c:pt idx="2">
                  <c:v>2009-2010</c:v>
                </c:pt>
              </c:strCache>
            </c:strRef>
          </c:cat>
          <c:val>
            <c:numRef>
              <c:f>Sheet1!$B$5:$D$5</c:f>
              <c:numCache>
                <c:formatCode>General</c:formatCode>
                <c:ptCount val="3"/>
                <c:pt idx="0">
                  <c:v>66.7</c:v>
                </c:pt>
                <c:pt idx="1">
                  <c:v>49.4</c:v>
                </c:pt>
                <c:pt idx="2">
                  <c:v>81.8</c:v>
                </c:pt>
              </c:numCache>
            </c:numRef>
          </c:val>
        </c:ser>
        <c:marker val="1"/>
        <c:axId val="138810496"/>
        <c:axId val="138812416"/>
      </c:lineChart>
      <c:catAx>
        <c:axId val="138810496"/>
        <c:scaling>
          <c:orientation val="minMax"/>
        </c:scaling>
        <c:axPos val="b"/>
        <c:title>
          <c:tx>
            <c:rich>
              <a:bodyPr/>
              <a:lstStyle/>
              <a:p>
                <a:pPr>
                  <a:defRPr/>
                </a:pPr>
                <a:r>
                  <a:rPr lang="en-GB"/>
                  <a:t>Academic</a:t>
                </a:r>
                <a:r>
                  <a:rPr lang="en-GB" baseline="0"/>
                  <a:t> Year</a:t>
                </a:r>
                <a:endParaRPr lang="en-GB"/>
              </a:p>
            </c:rich>
          </c:tx>
        </c:title>
        <c:tickLblPos val="nextTo"/>
        <c:crossAx val="138812416"/>
        <c:crosses val="autoZero"/>
        <c:auto val="1"/>
        <c:lblAlgn val="ctr"/>
        <c:lblOffset val="100"/>
      </c:catAx>
      <c:valAx>
        <c:axId val="138812416"/>
        <c:scaling>
          <c:orientation val="minMax"/>
        </c:scaling>
        <c:axPos val="l"/>
        <c:majorGridlines/>
        <c:title>
          <c:tx>
            <c:rich>
              <a:bodyPr rot="-5400000" vert="horz"/>
              <a:lstStyle/>
              <a:p>
                <a:pPr>
                  <a:defRPr/>
                </a:pPr>
                <a:r>
                  <a:rPr lang="en-GB" baseline="0"/>
                  <a:t>Success  %</a:t>
                </a:r>
                <a:endParaRPr lang="en-GB"/>
              </a:p>
            </c:rich>
          </c:tx>
        </c:title>
        <c:numFmt formatCode="General" sourceLinked="1"/>
        <c:tickLblPos val="nextTo"/>
        <c:crossAx val="138810496"/>
        <c:crosses val="autoZero"/>
        <c:crossBetween val="between"/>
      </c:valAx>
    </c:plotArea>
    <c:legend>
      <c:legendPos val="r"/>
    </c:legend>
    <c:plotVisOnly val="1"/>
    <c:dispBlanksAs val="gap"/>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 Trend</a:t>
            </a:r>
            <a:r>
              <a:rPr lang="en-GB" baseline="0"/>
              <a:t> by Ethnicity                   Black African</a:t>
            </a:r>
            <a:endParaRPr lang="en-GB"/>
          </a:p>
        </c:rich>
      </c:tx>
      <c:layout>
        <c:manualLayout>
          <c:xMode val="edge"/>
          <c:yMode val="edge"/>
          <c:x val="0.22787878787878788"/>
          <c:y val="4.5627376425855466E-2"/>
        </c:manualLayout>
      </c:layout>
    </c:title>
    <c:plotArea>
      <c:layout/>
      <c:lineChart>
        <c:grouping val="standard"/>
        <c:ser>
          <c:idx val="0"/>
          <c:order val="0"/>
          <c:tx>
            <c:strRef>
              <c:f>Sheet1!$A$4</c:f>
              <c:strCache>
                <c:ptCount val="1"/>
                <c:pt idx="0">
                  <c:v>Males</c:v>
                </c:pt>
              </c:strCache>
            </c:strRef>
          </c:tx>
          <c:marker>
            <c:symbol val="none"/>
          </c:marker>
          <c:cat>
            <c:strRef>
              <c:f>Sheet1!$B$3:$D$3</c:f>
              <c:strCache>
                <c:ptCount val="3"/>
                <c:pt idx="0">
                  <c:v>2007-2008</c:v>
                </c:pt>
                <c:pt idx="1">
                  <c:v>2008-2009</c:v>
                </c:pt>
                <c:pt idx="2">
                  <c:v>2009-2010</c:v>
                </c:pt>
              </c:strCache>
            </c:strRef>
          </c:cat>
          <c:val>
            <c:numRef>
              <c:f>Sheet1!$B$4:$D$4</c:f>
              <c:numCache>
                <c:formatCode>General</c:formatCode>
                <c:ptCount val="3"/>
                <c:pt idx="0">
                  <c:v>4</c:v>
                </c:pt>
                <c:pt idx="1">
                  <c:v>50</c:v>
                </c:pt>
                <c:pt idx="2">
                  <c:v>75</c:v>
                </c:pt>
              </c:numCache>
            </c:numRef>
          </c:val>
        </c:ser>
        <c:ser>
          <c:idx val="1"/>
          <c:order val="1"/>
          <c:tx>
            <c:strRef>
              <c:f>Sheet1!$A$5</c:f>
              <c:strCache>
                <c:ptCount val="1"/>
                <c:pt idx="0">
                  <c:v>Females</c:v>
                </c:pt>
              </c:strCache>
            </c:strRef>
          </c:tx>
          <c:marker>
            <c:symbol val="none"/>
          </c:marker>
          <c:cat>
            <c:strRef>
              <c:f>Sheet1!$B$3:$D$3</c:f>
              <c:strCache>
                <c:ptCount val="3"/>
                <c:pt idx="0">
                  <c:v>2007-2008</c:v>
                </c:pt>
                <c:pt idx="1">
                  <c:v>2008-2009</c:v>
                </c:pt>
                <c:pt idx="2">
                  <c:v>2009-2010</c:v>
                </c:pt>
              </c:strCache>
            </c:strRef>
          </c:cat>
          <c:val>
            <c:numRef>
              <c:f>Sheet1!$B$5:$D$5</c:f>
              <c:numCache>
                <c:formatCode>General</c:formatCode>
                <c:ptCount val="3"/>
                <c:pt idx="0">
                  <c:v>50</c:v>
                </c:pt>
                <c:pt idx="1">
                  <c:v>50</c:v>
                </c:pt>
                <c:pt idx="2">
                  <c:v>100</c:v>
                </c:pt>
              </c:numCache>
            </c:numRef>
          </c:val>
        </c:ser>
        <c:marker val="1"/>
        <c:axId val="138854400"/>
        <c:axId val="138856320"/>
      </c:lineChart>
      <c:catAx>
        <c:axId val="138854400"/>
        <c:scaling>
          <c:orientation val="minMax"/>
        </c:scaling>
        <c:axPos val="b"/>
        <c:title>
          <c:tx>
            <c:rich>
              <a:bodyPr/>
              <a:lstStyle/>
              <a:p>
                <a:pPr>
                  <a:defRPr/>
                </a:pPr>
                <a:r>
                  <a:rPr lang="en-GB"/>
                  <a:t>Academic</a:t>
                </a:r>
                <a:r>
                  <a:rPr lang="en-GB" baseline="0"/>
                  <a:t>  Year</a:t>
                </a:r>
                <a:endParaRPr lang="en-GB"/>
              </a:p>
            </c:rich>
          </c:tx>
        </c:title>
        <c:tickLblPos val="nextTo"/>
        <c:crossAx val="138856320"/>
        <c:crosses val="autoZero"/>
        <c:auto val="1"/>
        <c:lblAlgn val="ctr"/>
        <c:lblOffset val="100"/>
      </c:catAx>
      <c:valAx>
        <c:axId val="138856320"/>
        <c:scaling>
          <c:orientation val="minMax"/>
        </c:scaling>
        <c:axPos val="l"/>
        <c:majorGridlines/>
        <c:title>
          <c:tx>
            <c:rich>
              <a:bodyPr rot="-5400000" vert="horz"/>
              <a:lstStyle/>
              <a:p>
                <a:pPr>
                  <a:defRPr/>
                </a:pPr>
                <a:r>
                  <a:rPr lang="en-GB" baseline="0"/>
                  <a:t>Success  %</a:t>
                </a:r>
                <a:endParaRPr lang="en-GB"/>
              </a:p>
            </c:rich>
          </c:tx>
        </c:title>
        <c:numFmt formatCode="General" sourceLinked="1"/>
        <c:tickLblPos val="nextTo"/>
        <c:crossAx val="138854400"/>
        <c:crosses val="autoZero"/>
        <c:crossBetween val="between"/>
      </c:valAx>
    </c:plotArea>
    <c:legend>
      <c:legendPos val="r"/>
    </c:legend>
    <c:plotVisOnly val="1"/>
    <c:dispBlanksAs val="gap"/>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 Trend</a:t>
            </a:r>
            <a:r>
              <a:rPr lang="en-GB" baseline="0"/>
              <a:t> by Ethnicity                   Other Black Background</a:t>
            </a:r>
            <a:endParaRPr lang="en-GB"/>
          </a:p>
        </c:rich>
      </c:tx>
      <c:layout>
        <c:manualLayout>
          <c:xMode val="edge"/>
          <c:yMode val="edge"/>
          <c:x val="0.18680580312076422"/>
          <c:y val="4.8134777376654635E-2"/>
        </c:manualLayout>
      </c:layout>
    </c:title>
    <c:plotArea>
      <c:layout/>
      <c:lineChart>
        <c:grouping val="standard"/>
        <c:ser>
          <c:idx val="0"/>
          <c:order val="0"/>
          <c:tx>
            <c:strRef>
              <c:f>Sheet1!$A$4</c:f>
              <c:strCache>
                <c:ptCount val="1"/>
                <c:pt idx="0">
                  <c:v>Males</c:v>
                </c:pt>
              </c:strCache>
            </c:strRef>
          </c:tx>
          <c:marker>
            <c:symbol val="none"/>
          </c:marker>
          <c:cat>
            <c:strRef>
              <c:f>Sheet1!$B$3:$D$3</c:f>
              <c:strCache>
                <c:ptCount val="3"/>
                <c:pt idx="0">
                  <c:v>2007-2008</c:v>
                </c:pt>
                <c:pt idx="1">
                  <c:v>2008-2009</c:v>
                </c:pt>
                <c:pt idx="2">
                  <c:v>2009-2010</c:v>
                </c:pt>
              </c:strCache>
            </c:strRef>
          </c:cat>
          <c:val>
            <c:numRef>
              <c:f>Sheet1!$B$4:$D$4</c:f>
              <c:numCache>
                <c:formatCode>General</c:formatCode>
                <c:ptCount val="3"/>
                <c:pt idx="0">
                  <c:v>0</c:v>
                </c:pt>
                <c:pt idx="1">
                  <c:v>0</c:v>
                </c:pt>
                <c:pt idx="2">
                  <c:v>100</c:v>
                </c:pt>
              </c:numCache>
            </c:numRef>
          </c:val>
        </c:ser>
        <c:ser>
          <c:idx val="1"/>
          <c:order val="1"/>
          <c:tx>
            <c:strRef>
              <c:f>Sheet1!$A$5</c:f>
              <c:strCache>
                <c:ptCount val="1"/>
                <c:pt idx="0">
                  <c:v>Females</c:v>
                </c:pt>
              </c:strCache>
            </c:strRef>
          </c:tx>
          <c:marker>
            <c:symbol val="none"/>
          </c:marker>
          <c:cat>
            <c:strRef>
              <c:f>Sheet1!$B$3:$D$3</c:f>
              <c:strCache>
                <c:ptCount val="3"/>
                <c:pt idx="0">
                  <c:v>2007-2008</c:v>
                </c:pt>
                <c:pt idx="1">
                  <c:v>2008-2009</c:v>
                </c:pt>
                <c:pt idx="2">
                  <c:v>2009-2010</c:v>
                </c:pt>
              </c:strCache>
            </c:strRef>
          </c:cat>
          <c:val>
            <c:numRef>
              <c:f>Sheet1!$B$5:$D$5</c:f>
              <c:numCache>
                <c:formatCode>General</c:formatCode>
                <c:ptCount val="3"/>
                <c:pt idx="0">
                  <c:v>50</c:v>
                </c:pt>
                <c:pt idx="1">
                  <c:v>66.7</c:v>
                </c:pt>
                <c:pt idx="2">
                  <c:v>37.5</c:v>
                </c:pt>
              </c:numCache>
            </c:numRef>
          </c:val>
        </c:ser>
        <c:marker val="1"/>
        <c:axId val="138869376"/>
        <c:axId val="158110464"/>
      </c:lineChart>
      <c:catAx>
        <c:axId val="138869376"/>
        <c:scaling>
          <c:orientation val="minMax"/>
        </c:scaling>
        <c:axPos val="b"/>
        <c:title>
          <c:tx>
            <c:rich>
              <a:bodyPr/>
              <a:lstStyle/>
              <a:p>
                <a:pPr>
                  <a:defRPr/>
                </a:pPr>
                <a:r>
                  <a:rPr lang="en-GB"/>
                  <a:t>Academic</a:t>
                </a:r>
                <a:r>
                  <a:rPr lang="en-GB" baseline="0"/>
                  <a:t> Year</a:t>
                </a:r>
                <a:endParaRPr lang="en-GB"/>
              </a:p>
            </c:rich>
          </c:tx>
        </c:title>
        <c:tickLblPos val="nextTo"/>
        <c:crossAx val="158110464"/>
        <c:crosses val="autoZero"/>
        <c:auto val="1"/>
        <c:lblAlgn val="ctr"/>
        <c:lblOffset val="100"/>
      </c:catAx>
      <c:valAx>
        <c:axId val="158110464"/>
        <c:scaling>
          <c:orientation val="minMax"/>
        </c:scaling>
        <c:axPos val="l"/>
        <c:majorGridlines/>
        <c:title>
          <c:tx>
            <c:rich>
              <a:bodyPr rot="-5400000" vert="horz"/>
              <a:lstStyle/>
              <a:p>
                <a:pPr>
                  <a:defRPr/>
                </a:pPr>
                <a:r>
                  <a:rPr lang="en-GB" baseline="0"/>
                  <a:t> Success  %</a:t>
                </a:r>
                <a:endParaRPr lang="en-GB"/>
              </a:p>
            </c:rich>
          </c:tx>
        </c:title>
        <c:numFmt formatCode="General" sourceLinked="1"/>
        <c:tickLblPos val="nextTo"/>
        <c:crossAx val="138869376"/>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baseline="0"/>
              <a:t>Gender Distribution by School</a:t>
            </a:r>
          </a:p>
          <a:p>
            <a:pPr>
              <a:defRPr/>
            </a:pPr>
            <a:r>
              <a:rPr lang="en-GB" baseline="0"/>
              <a:t>2008-2009</a:t>
            </a:r>
          </a:p>
          <a:p>
            <a:pPr>
              <a:defRPr/>
            </a:pPr>
            <a:endParaRPr lang="en-GB"/>
          </a:p>
        </c:rich>
      </c:tx>
    </c:title>
    <c:plotArea>
      <c:layout/>
      <c:barChart>
        <c:barDir val="bar"/>
        <c:grouping val="clustered"/>
        <c:ser>
          <c:idx val="0"/>
          <c:order val="0"/>
          <c:tx>
            <c:strRef>
              <c:f>Sheet1!$B$1</c:f>
              <c:strCache>
                <c:ptCount val="1"/>
                <c:pt idx="0">
                  <c:v>Males</c:v>
                </c:pt>
              </c:strCache>
            </c:strRef>
          </c:tx>
          <c:cat>
            <c:strRef>
              <c:f>Sheet1!$A$2:$A$19</c:f>
              <c:strCache>
                <c:ptCount val="18"/>
                <c:pt idx="0">
                  <c:v>ACE</c:v>
                </c:pt>
                <c:pt idx="1">
                  <c:v>AE</c:v>
                </c:pt>
                <c:pt idx="2">
                  <c:v>CBE</c:v>
                </c:pt>
                <c:pt idx="3">
                  <c:v>BTH</c:v>
                </c:pt>
                <c:pt idx="4">
                  <c:v>CIT</c:v>
                </c:pt>
                <c:pt idx="5">
                  <c:v>CVP</c:v>
                </c:pt>
                <c:pt idx="6">
                  <c:v>ENG</c:v>
                </c:pt>
                <c:pt idx="7">
                  <c:v>FAC6FORM</c:v>
                </c:pt>
                <c:pt idx="8">
                  <c:v>HAT</c:v>
                </c:pt>
                <c:pt idx="9">
                  <c:v>HSC</c:v>
                </c:pt>
                <c:pt idx="10">
                  <c:v>PWT</c:v>
                </c:pt>
                <c:pt idx="11">
                  <c:v>IBC</c:v>
                </c:pt>
                <c:pt idx="12">
                  <c:v>IES</c:v>
                </c:pt>
                <c:pt idx="13">
                  <c:v>MAS</c:v>
                </c:pt>
                <c:pt idx="14">
                  <c:v>PVS</c:v>
                </c:pt>
                <c:pt idx="15">
                  <c:v>SPS</c:v>
                </c:pt>
                <c:pt idx="16">
                  <c:v>SSL</c:v>
                </c:pt>
                <c:pt idx="17">
                  <c:v>UFI</c:v>
                </c:pt>
              </c:strCache>
            </c:strRef>
          </c:cat>
          <c:val>
            <c:numRef>
              <c:f>Sheet1!$B$2:$B$19</c:f>
              <c:numCache>
                <c:formatCode>General</c:formatCode>
                <c:ptCount val="18"/>
                <c:pt idx="0">
                  <c:v>26.5</c:v>
                </c:pt>
                <c:pt idx="1">
                  <c:v>26.9</c:v>
                </c:pt>
                <c:pt idx="2">
                  <c:v>97.6</c:v>
                </c:pt>
                <c:pt idx="3">
                  <c:v>38.700000000000003</c:v>
                </c:pt>
                <c:pt idx="4">
                  <c:v>70.5</c:v>
                </c:pt>
                <c:pt idx="5">
                  <c:v>49.2</c:v>
                </c:pt>
                <c:pt idx="6">
                  <c:v>95.5</c:v>
                </c:pt>
                <c:pt idx="7">
                  <c:v>46.1</c:v>
                </c:pt>
                <c:pt idx="8">
                  <c:v>9.7000000000000011</c:v>
                </c:pt>
                <c:pt idx="9">
                  <c:v>5.4</c:v>
                </c:pt>
                <c:pt idx="10">
                  <c:v>78.7</c:v>
                </c:pt>
                <c:pt idx="11">
                  <c:v>52.6</c:v>
                </c:pt>
                <c:pt idx="12">
                  <c:v>59.3</c:v>
                </c:pt>
                <c:pt idx="13">
                  <c:v>50.4</c:v>
                </c:pt>
                <c:pt idx="14">
                  <c:v>48.7</c:v>
                </c:pt>
                <c:pt idx="15">
                  <c:v>72.400000000000006</c:v>
                </c:pt>
                <c:pt idx="16">
                  <c:v>24.2</c:v>
                </c:pt>
                <c:pt idx="17">
                  <c:v>18.399999999999999</c:v>
                </c:pt>
              </c:numCache>
            </c:numRef>
          </c:val>
        </c:ser>
        <c:ser>
          <c:idx val="1"/>
          <c:order val="1"/>
          <c:tx>
            <c:strRef>
              <c:f>Sheet1!$C$1</c:f>
              <c:strCache>
                <c:ptCount val="1"/>
                <c:pt idx="0">
                  <c:v>Females</c:v>
                </c:pt>
              </c:strCache>
            </c:strRef>
          </c:tx>
          <c:cat>
            <c:strRef>
              <c:f>Sheet1!$A$2:$A$19</c:f>
              <c:strCache>
                <c:ptCount val="18"/>
                <c:pt idx="0">
                  <c:v>ACE</c:v>
                </c:pt>
                <c:pt idx="1">
                  <c:v>AE</c:v>
                </c:pt>
                <c:pt idx="2">
                  <c:v>CBE</c:v>
                </c:pt>
                <c:pt idx="3">
                  <c:v>BTH</c:v>
                </c:pt>
                <c:pt idx="4">
                  <c:v>CIT</c:v>
                </c:pt>
                <c:pt idx="5">
                  <c:v>CVP</c:v>
                </c:pt>
                <c:pt idx="6">
                  <c:v>ENG</c:v>
                </c:pt>
                <c:pt idx="7">
                  <c:v>FAC6FORM</c:v>
                </c:pt>
                <c:pt idx="8">
                  <c:v>HAT</c:v>
                </c:pt>
                <c:pt idx="9">
                  <c:v>HSC</c:v>
                </c:pt>
                <c:pt idx="10">
                  <c:v>PWT</c:v>
                </c:pt>
                <c:pt idx="11">
                  <c:v>IBC</c:v>
                </c:pt>
                <c:pt idx="12">
                  <c:v>IES</c:v>
                </c:pt>
                <c:pt idx="13">
                  <c:v>MAS</c:v>
                </c:pt>
                <c:pt idx="14">
                  <c:v>PVS</c:v>
                </c:pt>
                <c:pt idx="15">
                  <c:v>SPS</c:v>
                </c:pt>
                <c:pt idx="16">
                  <c:v>SSL</c:v>
                </c:pt>
                <c:pt idx="17">
                  <c:v>UFI</c:v>
                </c:pt>
              </c:strCache>
            </c:strRef>
          </c:cat>
          <c:val>
            <c:numRef>
              <c:f>Sheet1!$C$2:$C$19</c:f>
              <c:numCache>
                <c:formatCode>General</c:formatCode>
                <c:ptCount val="18"/>
                <c:pt idx="0">
                  <c:v>73.5</c:v>
                </c:pt>
                <c:pt idx="1">
                  <c:v>73.099999999999994</c:v>
                </c:pt>
                <c:pt idx="2">
                  <c:v>2.4</c:v>
                </c:pt>
                <c:pt idx="3">
                  <c:v>61.3</c:v>
                </c:pt>
                <c:pt idx="4">
                  <c:v>29.5</c:v>
                </c:pt>
                <c:pt idx="5">
                  <c:v>50.8</c:v>
                </c:pt>
                <c:pt idx="6">
                  <c:v>4.5</c:v>
                </c:pt>
                <c:pt idx="7">
                  <c:v>53.9</c:v>
                </c:pt>
                <c:pt idx="8">
                  <c:v>90.3</c:v>
                </c:pt>
                <c:pt idx="9">
                  <c:v>94.6</c:v>
                </c:pt>
                <c:pt idx="10">
                  <c:v>21.3</c:v>
                </c:pt>
                <c:pt idx="11">
                  <c:v>47.4</c:v>
                </c:pt>
                <c:pt idx="12">
                  <c:v>40.700000000000003</c:v>
                </c:pt>
                <c:pt idx="13">
                  <c:v>49.6</c:v>
                </c:pt>
                <c:pt idx="14">
                  <c:v>51.3</c:v>
                </c:pt>
                <c:pt idx="15">
                  <c:v>27.6</c:v>
                </c:pt>
                <c:pt idx="16">
                  <c:v>75.8</c:v>
                </c:pt>
                <c:pt idx="17">
                  <c:v>81.599999999999994</c:v>
                </c:pt>
              </c:numCache>
            </c:numRef>
          </c:val>
        </c:ser>
        <c:axId val="91243648"/>
        <c:axId val="91245568"/>
      </c:barChart>
      <c:catAx>
        <c:axId val="91243648"/>
        <c:scaling>
          <c:orientation val="minMax"/>
        </c:scaling>
        <c:axPos val="l"/>
        <c:title>
          <c:tx>
            <c:rich>
              <a:bodyPr rot="-5400000" vert="horz"/>
              <a:lstStyle/>
              <a:p>
                <a:pPr>
                  <a:defRPr/>
                </a:pPr>
                <a:r>
                  <a:rPr lang="en-GB"/>
                  <a:t>School</a:t>
                </a:r>
                <a:r>
                  <a:rPr lang="en-GB" baseline="0"/>
                  <a:t> </a:t>
                </a:r>
                <a:endParaRPr lang="en-GB"/>
              </a:p>
            </c:rich>
          </c:tx>
        </c:title>
        <c:tickLblPos val="nextTo"/>
        <c:crossAx val="91245568"/>
        <c:crosses val="autoZero"/>
        <c:auto val="1"/>
        <c:lblAlgn val="ctr"/>
        <c:lblOffset val="100"/>
      </c:catAx>
      <c:valAx>
        <c:axId val="91245568"/>
        <c:scaling>
          <c:orientation val="minMax"/>
        </c:scaling>
        <c:axPos val="b"/>
        <c:majorGridlines/>
        <c:title>
          <c:tx>
            <c:rich>
              <a:bodyPr/>
              <a:lstStyle/>
              <a:p>
                <a:pPr>
                  <a:defRPr/>
                </a:pPr>
                <a:r>
                  <a:rPr lang="en-GB"/>
                  <a:t>Percentage</a:t>
                </a:r>
                <a:r>
                  <a:rPr lang="en-GB" baseline="0"/>
                  <a:t> % </a:t>
                </a:r>
                <a:endParaRPr lang="en-GB"/>
              </a:p>
            </c:rich>
          </c:tx>
        </c:title>
        <c:numFmt formatCode="General" sourceLinked="1"/>
        <c:tickLblPos val="nextTo"/>
        <c:crossAx val="91243648"/>
        <c:crosses val="autoZero"/>
        <c:crossBetween val="between"/>
      </c:valAx>
    </c:plotArea>
    <c:legend>
      <c:legendPos val="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 Trend</a:t>
            </a:r>
            <a:r>
              <a:rPr lang="en-GB" baseline="0"/>
              <a:t> by Ethnicity                   Asian - Indian</a:t>
            </a:r>
            <a:endParaRPr lang="en-GB"/>
          </a:p>
        </c:rich>
      </c:tx>
      <c:layout>
        <c:manualLayout>
          <c:xMode val="edge"/>
          <c:yMode val="edge"/>
          <c:x val="0.23438041483752631"/>
          <c:y val="5.0314465408805034E-2"/>
        </c:manualLayout>
      </c:layout>
    </c:title>
    <c:plotArea>
      <c:layout/>
      <c:lineChart>
        <c:grouping val="standard"/>
        <c:ser>
          <c:idx val="0"/>
          <c:order val="0"/>
          <c:tx>
            <c:strRef>
              <c:f>Sheet1!$A$4</c:f>
              <c:strCache>
                <c:ptCount val="1"/>
                <c:pt idx="0">
                  <c:v>Males</c:v>
                </c:pt>
              </c:strCache>
            </c:strRef>
          </c:tx>
          <c:marker>
            <c:symbol val="none"/>
          </c:marker>
          <c:cat>
            <c:strRef>
              <c:f>Sheet1!$B$3:$D$3</c:f>
              <c:strCache>
                <c:ptCount val="3"/>
                <c:pt idx="0">
                  <c:v>2007-2008</c:v>
                </c:pt>
                <c:pt idx="1">
                  <c:v>2008-2009</c:v>
                </c:pt>
                <c:pt idx="2">
                  <c:v>2009-2010</c:v>
                </c:pt>
              </c:strCache>
            </c:strRef>
          </c:cat>
          <c:val>
            <c:numRef>
              <c:f>Sheet1!$B$4:$D$4</c:f>
              <c:numCache>
                <c:formatCode>General</c:formatCode>
                <c:ptCount val="3"/>
                <c:pt idx="0">
                  <c:v>70</c:v>
                </c:pt>
                <c:pt idx="1">
                  <c:v>83.3</c:v>
                </c:pt>
                <c:pt idx="2">
                  <c:v>64.3</c:v>
                </c:pt>
              </c:numCache>
            </c:numRef>
          </c:val>
        </c:ser>
        <c:ser>
          <c:idx val="1"/>
          <c:order val="1"/>
          <c:tx>
            <c:strRef>
              <c:f>Sheet1!$A$5</c:f>
              <c:strCache>
                <c:ptCount val="1"/>
                <c:pt idx="0">
                  <c:v>Females</c:v>
                </c:pt>
              </c:strCache>
            </c:strRef>
          </c:tx>
          <c:marker>
            <c:symbol val="none"/>
          </c:marker>
          <c:cat>
            <c:strRef>
              <c:f>Sheet1!$B$3:$D$3</c:f>
              <c:strCache>
                <c:ptCount val="3"/>
                <c:pt idx="0">
                  <c:v>2007-2008</c:v>
                </c:pt>
                <c:pt idx="1">
                  <c:v>2008-2009</c:v>
                </c:pt>
                <c:pt idx="2">
                  <c:v>2009-2010</c:v>
                </c:pt>
              </c:strCache>
            </c:strRef>
          </c:cat>
          <c:val>
            <c:numRef>
              <c:f>Sheet1!$B$5:$D$5</c:f>
              <c:numCache>
                <c:formatCode>General</c:formatCode>
                <c:ptCount val="3"/>
                <c:pt idx="0">
                  <c:v>59</c:v>
                </c:pt>
                <c:pt idx="1">
                  <c:v>57.7</c:v>
                </c:pt>
                <c:pt idx="2">
                  <c:v>70.900000000000006</c:v>
                </c:pt>
              </c:numCache>
            </c:numRef>
          </c:val>
        </c:ser>
        <c:marker val="1"/>
        <c:axId val="158127616"/>
        <c:axId val="158129536"/>
      </c:lineChart>
      <c:catAx>
        <c:axId val="158127616"/>
        <c:scaling>
          <c:orientation val="minMax"/>
        </c:scaling>
        <c:axPos val="b"/>
        <c:title>
          <c:tx>
            <c:rich>
              <a:bodyPr/>
              <a:lstStyle/>
              <a:p>
                <a:pPr>
                  <a:defRPr/>
                </a:pPr>
                <a:r>
                  <a:rPr lang="en-GB"/>
                  <a:t>Academic</a:t>
                </a:r>
                <a:r>
                  <a:rPr lang="en-GB" baseline="0"/>
                  <a:t> Year</a:t>
                </a:r>
                <a:endParaRPr lang="en-GB"/>
              </a:p>
            </c:rich>
          </c:tx>
        </c:title>
        <c:tickLblPos val="nextTo"/>
        <c:crossAx val="158129536"/>
        <c:crosses val="autoZero"/>
        <c:auto val="1"/>
        <c:lblAlgn val="ctr"/>
        <c:lblOffset val="100"/>
      </c:catAx>
      <c:valAx>
        <c:axId val="158129536"/>
        <c:scaling>
          <c:orientation val="minMax"/>
        </c:scaling>
        <c:axPos val="l"/>
        <c:majorGridlines/>
        <c:title>
          <c:tx>
            <c:rich>
              <a:bodyPr rot="-5400000" vert="horz"/>
              <a:lstStyle/>
              <a:p>
                <a:pPr>
                  <a:defRPr/>
                </a:pPr>
                <a:r>
                  <a:rPr lang="en-GB" baseline="0"/>
                  <a:t> Success  %</a:t>
                </a:r>
                <a:endParaRPr lang="en-GB"/>
              </a:p>
            </c:rich>
          </c:tx>
        </c:title>
        <c:numFmt formatCode="General" sourceLinked="1"/>
        <c:tickLblPos val="nextTo"/>
        <c:crossAx val="158127616"/>
        <c:crosses val="autoZero"/>
        <c:crossBetween val="between"/>
      </c:valAx>
    </c:plotArea>
    <c:legend>
      <c:legendPos val="r"/>
    </c:legend>
    <c:plotVisOnly val="1"/>
    <c:dispBlanksAs val="gap"/>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Trend by Ethnicity</a:t>
            </a:r>
          </a:p>
          <a:p>
            <a:pPr>
              <a:defRPr/>
            </a:pPr>
            <a:r>
              <a:rPr lang="en-GB" baseline="0"/>
              <a:t>Asian - Pakistani</a:t>
            </a:r>
            <a:endParaRPr lang="en-GB"/>
          </a:p>
        </c:rich>
      </c:tx>
      <c:layout>
        <c:manualLayout>
          <c:xMode val="edge"/>
          <c:yMode val="edge"/>
          <c:x val="0.22121522309711308"/>
          <c:y val="1.3888888888888919E-2"/>
        </c:manualLayout>
      </c:layout>
    </c:title>
    <c:plotArea>
      <c:layout/>
      <c:lineChart>
        <c:grouping val="standard"/>
        <c:ser>
          <c:idx val="0"/>
          <c:order val="0"/>
          <c:tx>
            <c:strRef>
              <c:f>Sheet1!$B$1</c:f>
              <c:strCache>
                <c:ptCount val="1"/>
                <c:pt idx="0">
                  <c:v>Males</c:v>
                </c:pt>
              </c:strCache>
            </c:strRef>
          </c:tx>
          <c:marker>
            <c:symbol val="none"/>
          </c:marker>
          <c:cat>
            <c:strRef>
              <c:f>Sheet1!$A$2:$A$4</c:f>
              <c:strCache>
                <c:ptCount val="3"/>
                <c:pt idx="0">
                  <c:v>2007-2008</c:v>
                </c:pt>
                <c:pt idx="1">
                  <c:v>2008-2009</c:v>
                </c:pt>
                <c:pt idx="2">
                  <c:v>2009-2010</c:v>
                </c:pt>
              </c:strCache>
            </c:strRef>
          </c:cat>
          <c:val>
            <c:numRef>
              <c:f>Sheet1!$B$2:$B$4</c:f>
              <c:numCache>
                <c:formatCode>General</c:formatCode>
                <c:ptCount val="3"/>
                <c:pt idx="0">
                  <c:v>59.7</c:v>
                </c:pt>
                <c:pt idx="1">
                  <c:v>68.400000000000006</c:v>
                </c:pt>
                <c:pt idx="2">
                  <c:v>100</c:v>
                </c:pt>
              </c:numCache>
            </c:numRef>
          </c:val>
        </c:ser>
        <c:ser>
          <c:idx val="1"/>
          <c:order val="1"/>
          <c:tx>
            <c:strRef>
              <c:f>Sheet1!$C$1</c:f>
              <c:strCache>
                <c:ptCount val="1"/>
                <c:pt idx="0">
                  <c:v>Females</c:v>
                </c:pt>
              </c:strCache>
            </c:strRef>
          </c:tx>
          <c:marker>
            <c:symbol val="none"/>
          </c:marker>
          <c:cat>
            <c:strRef>
              <c:f>Sheet1!$A$2:$A$4</c:f>
              <c:strCache>
                <c:ptCount val="3"/>
                <c:pt idx="0">
                  <c:v>2007-2008</c:v>
                </c:pt>
                <c:pt idx="1">
                  <c:v>2008-2009</c:v>
                </c:pt>
                <c:pt idx="2">
                  <c:v>2009-2010</c:v>
                </c:pt>
              </c:strCache>
            </c:strRef>
          </c:cat>
          <c:val>
            <c:numRef>
              <c:f>Sheet1!$C$2:$C$4</c:f>
              <c:numCache>
                <c:formatCode>General</c:formatCode>
                <c:ptCount val="3"/>
                <c:pt idx="0">
                  <c:v>85.7</c:v>
                </c:pt>
                <c:pt idx="1">
                  <c:v>100</c:v>
                </c:pt>
                <c:pt idx="2">
                  <c:v>100</c:v>
                </c:pt>
              </c:numCache>
            </c:numRef>
          </c:val>
        </c:ser>
        <c:marker val="1"/>
        <c:axId val="158162944"/>
        <c:axId val="158164864"/>
      </c:lineChart>
      <c:catAx>
        <c:axId val="158162944"/>
        <c:scaling>
          <c:orientation val="minMax"/>
        </c:scaling>
        <c:axPos val="b"/>
        <c:title>
          <c:tx>
            <c:rich>
              <a:bodyPr/>
              <a:lstStyle/>
              <a:p>
                <a:pPr>
                  <a:defRPr/>
                </a:pPr>
                <a:r>
                  <a:rPr lang="en-GB"/>
                  <a:t>Academic</a:t>
                </a:r>
                <a:r>
                  <a:rPr lang="en-GB" baseline="0"/>
                  <a:t> Year</a:t>
                </a:r>
                <a:endParaRPr lang="en-GB"/>
              </a:p>
            </c:rich>
          </c:tx>
        </c:title>
        <c:tickLblPos val="nextTo"/>
        <c:crossAx val="158164864"/>
        <c:crosses val="autoZero"/>
        <c:auto val="1"/>
        <c:lblAlgn val="ctr"/>
        <c:lblOffset val="100"/>
      </c:catAx>
      <c:valAx>
        <c:axId val="158164864"/>
        <c:scaling>
          <c:orientation val="minMax"/>
        </c:scaling>
        <c:axPos val="l"/>
        <c:majorGridlines/>
        <c:title>
          <c:tx>
            <c:rich>
              <a:bodyPr rot="-5400000" vert="horz"/>
              <a:lstStyle/>
              <a:p>
                <a:pPr>
                  <a:defRPr/>
                </a:pPr>
                <a:r>
                  <a:rPr lang="en-GB"/>
                  <a:t>Success</a:t>
                </a:r>
                <a:r>
                  <a:rPr lang="en-GB" baseline="0"/>
                  <a:t>  %</a:t>
                </a:r>
                <a:endParaRPr lang="en-GB"/>
              </a:p>
            </c:rich>
          </c:tx>
        </c:title>
        <c:numFmt formatCode="General" sourceLinked="1"/>
        <c:tickLblPos val="nextTo"/>
        <c:crossAx val="158162944"/>
        <c:crosses val="autoZero"/>
        <c:crossBetween val="between"/>
      </c:valAx>
    </c:plotArea>
    <c:legend>
      <c:legendPos val="r"/>
    </c:legend>
    <c:plotVisOnly val="1"/>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Trend by Ethnicity</a:t>
            </a:r>
          </a:p>
          <a:p>
            <a:pPr>
              <a:defRPr/>
            </a:pPr>
            <a:r>
              <a:rPr lang="en-GB" baseline="0"/>
              <a:t>Asian - Bangladeshi</a:t>
            </a:r>
            <a:endParaRPr lang="en-GB"/>
          </a:p>
        </c:rich>
      </c:tx>
      <c:layout>
        <c:manualLayout>
          <c:xMode val="edge"/>
          <c:yMode val="edge"/>
          <c:x val="0.22121522309711303"/>
          <c:y val="1.3888888888888911E-2"/>
        </c:manualLayout>
      </c:layout>
    </c:title>
    <c:plotArea>
      <c:layout/>
      <c:lineChart>
        <c:grouping val="standard"/>
        <c:ser>
          <c:idx val="0"/>
          <c:order val="0"/>
          <c:tx>
            <c:strRef>
              <c:f>Sheet1!$B$1</c:f>
              <c:strCache>
                <c:ptCount val="1"/>
                <c:pt idx="0">
                  <c:v>Males</c:v>
                </c:pt>
              </c:strCache>
            </c:strRef>
          </c:tx>
          <c:marker>
            <c:symbol val="none"/>
          </c:marker>
          <c:cat>
            <c:strRef>
              <c:f>Sheet1!$A$2:$A$4</c:f>
              <c:strCache>
                <c:ptCount val="3"/>
                <c:pt idx="0">
                  <c:v>2007-2008</c:v>
                </c:pt>
                <c:pt idx="1">
                  <c:v>2008-2009</c:v>
                </c:pt>
                <c:pt idx="2">
                  <c:v>2009-2010</c:v>
                </c:pt>
              </c:strCache>
            </c:strRef>
          </c:cat>
          <c:val>
            <c:numRef>
              <c:f>Sheet1!$B$2:$B$4</c:f>
              <c:numCache>
                <c:formatCode>General</c:formatCode>
                <c:ptCount val="3"/>
                <c:pt idx="0">
                  <c:v>67.2</c:v>
                </c:pt>
                <c:pt idx="1">
                  <c:v>77.3</c:v>
                </c:pt>
                <c:pt idx="2">
                  <c:v>71.2</c:v>
                </c:pt>
              </c:numCache>
            </c:numRef>
          </c:val>
        </c:ser>
        <c:ser>
          <c:idx val="1"/>
          <c:order val="1"/>
          <c:tx>
            <c:strRef>
              <c:f>Sheet1!$C$1</c:f>
              <c:strCache>
                <c:ptCount val="1"/>
                <c:pt idx="0">
                  <c:v>Females</c:v>
                </c:pt>
              </c:strCache>
            </c:strRef>
          </c:tx>
          <c:marker>
            <c:symbol val="none"/>
          </c:marker>
          <c:cat>
            <c:strRef>
              <c:f>Sheet1!$A$2:$A$4</c:f>
              <c:strCache>
                <c:ptCount val="3"/>
                <c:pt idx="0">
                  <c:v>2007-2008</c:v>
                </c:pt>
                <c:pt idx="1">
                  <c:v>2008-2009</c:v>
                </c:pt>
                <c:pt idx="2">
                  <c:v>2009-2010</c:v>
                </c:pt>
              </c:strCache>
            </c:strRef>
          </c:cat>
          <c:val>
            <c:numRef>
              <c:f>Sheet1!$C$2:$C$4</c:f>
              <c:numCache>
                <c:formatCode>General</c:formatCode>
                <c:ptCount val="3"/>
                <c:pt idx="0">
                  <c:v>66.099999999999994</c:v>
                </c:pt>
                <c:pt idx="1">
                  <c:v>87</c:v>
                </c:pt>
                <c:pt idx="2">
                  <c:v>73</c:v>
                </c:pt>
              </c:numCache>
            </c:numRef>
          </c:val>
        </c:ser>
        <c:marker val="1"/>
        <c:axId val="158189824"/>
        <c:axId val="158216576"/>
      </c:lineChart>
      <c:catAx>
        <c:axId val="158189824"/>
        <c:scaling>
          <c:orientation val="minMax"/>
        </c:scaling>
        <c:axPos val="b"/>
        <c:title>
          <c:tx>
            <c:rich>
              <a:bodyPr/>
              <a:lstStyle/>
              <a:p>
                <a:pPr>
                  <a:defRPr/>
                </a:pPr>
                <a:r>
                  <a:rPr lang="en-GB"/>
                  <a:t>Academic</a:t>
                </a:r>
                <a:r>
                  <a:rPr lang="en-GB" baseline="0"/>
                  <a:t> Year</a:t>
                </a:r>
                <a:endParaRPr lang="en-GB"/>
              </a:p>
            </c:rich>
          </c:tx>
        </c:title>
        <c:tickLblPos val="nextTo"/>
        <c:crossAx val="158216576"/>
        <c:crosses val="autoZero"/>
        <c:auto val="1"/>
        <c:lblAlgn val="ctr"/>
        <c:lblOffset val="100"/>
      </c:catAx>
      <c:valAx>
        <c:axId val="158216576"/>
        <c:scaling>
          <c:orientation val="minMax"/>
        </c:scaling>
        <c:axPos val="l"/>
        <c:majorGridlines/>
        <c:title>
          <c:tx>
            <c:rich>
              <a:bodyPr rot="-5400000" vert="horz"/>
              <a:lstStyle/>
              <a:p>
                <a:pPr>
                  <a:defRPr/>
                </a:pPr>
                <a:r>
                  <a:rPr lang="en-GB"/>
                  <a:t>Success</a:t>
                </a:r>
                <a:r>
                  <a:rPr lang="en-GB" baseline="0"/>
                  <a:t> %</a:t>
                </a:r>
                <a:endParaRPr lang="en-GB"/>
              </a:p>
            </c:rich>
          </c:tx>
        </c:title>
        <c:numFmt formatCode="General" sourceLinked="1"/>
        <c:tickLblPos val="nextTo"/>
        <c:crossAx val="158189824"/>
        <c:crosses val="autoZero"/>
        <c:crossBetween val="between"/>
      </c:valAx>
    </c:plotArea>
    <c:legend>
      <c:legendPos val="r"/>
    </c:legend>
    <c:plotVisOnly val="1"/>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 Trend</a:t>
            </a:r>
            <a:r>
              <a:rPr lang="en-GB" baseline="0"/>
              <a:t> by Ethnicity               Chinese</a:t>
            </a:r>
            <a:endParaRPr lang="en-GB"/>
          </a:p>
        </c:rich>
      </c:tx>
      <c:layout>
        <c:manualLayout>
          <c:xMode val="edge"/>
          <c:yMode val="edge"/>
          <c:x val="0.23555054516863805"/>
          <c:y val="4.9019607843137636E-2"/>
        </c:manualLayout>
      </c:layout>
    </c:title>
    <c:plotArea>
      <c:layout/>
      <c:lineChart>
        <c:grouping val="standard"/>
        <c:ser>
          <c:idx val="0"/>
          <c:order val="0"/>
          <c:tx>
            <c:strRef>
              <c:f>Sheet1!$A$4</c:f>
              <c:strCache>
                <c:ptCount val="1"/>
                <c:pt idx="0">
                  <c:v>Males</c:v>
                </c:pt>
              </c:strCache>
            </c:strRef>
          </c:tx>
          <c:marker>
            <c:symbol val="none"/>
          </c:marker>
          <c:cat>
            <c:strRef>
              <c:f>Sheet1!$B$3:$D$3</c:f>
              <c:strCache>
                <c:ptCount val="3"/>
                <c:pt idx="0">
                  <c:v>2007-2008</c:v>
                </c:pt>
                <c:pt idx="1">
                  <c:v>2008-2009</c:v>
                </c:pt>
                <c:pt idx="2">
                  <c:v>2009-2010</c:v>
                </c:pt>
              </c:strCache>
            </c:strRef>
          </c:cat>
          <c:val>
            <c:numRef>
              <c:f>Sheet1!$B$4:$D$4</c:f>
              <c:numCache>
                <c:formatCode>General</c:formatCode>
                <c:ptCount val="3"/>
                <c:pt idx="0">
                  <c:v>81.8</c:v>
                </c:pt>
                <c:pt idx="1">
                  <c:v>91.7</c:v>
                </c:pt>
                <c:pt idx="2">
                  <c:v>85.6</c:v>
                </c:pt>
              </c:numCache>
            </c:numRef>
          </c:val>
        </c:ser>
        <c:ser>
          <c:idx val="1"/>
          <c:order val="1"/>
          <c:tx>
            <c:strRef>
              <c:f>Sheet1!$A$5</c:f>
              <c:strCache>
                <c:ptCount val="1"/>
                <c:pt idx="0">
                  <c:v>Females</c:v>
                </c:pt>
              </c:strCache>
            </c:strRef>
          </c:tx>
          <c:marker>
            <c:symbol val="none"/>
          </c:marker>
          <c:cat>
            <c:strRef>
              <c:f>Sheet1!$B$3:$D$3</c:f>
              <c:strCache>
                <c:ptCount val="3"/>
                <c:pt idx="0">
                  <c:v>2007-2008</c:v>
                </c:pt>
                <c:pt idx="1">
                  <c:v>2008-2009</c:v>
                </c:pt>
                <c:pt idx="2">
                  <c:v>2009-2010</c:v>
                </c:pt>
              </c:strCache>
            </c:strRef>
          </c:cat>
          <c:val>
            <c:numRef>
              <c:f>Sheet1!$B$5:$D$5</c:f>
              <c:numCache>
                <c:formatCode>General</c:formatCode>
                <c:ptCount val="3"/>
                <c:pt idx="0">
                  <c:v>70.599999999999994</c:v>
                </c:pt>
                <c:pt idx="1">
                  <c:v>73.2</c:v>
                </c:pt>
                <c:pt idx="2">
                  <c:v>57.9</c:v>
                </c:pt>
              </c:numCache>
            </c:numRef>
          </c:val>
        </c:ser>
        <c:marker val="1"/>
        <c:axId val="158250112"/>
        <c:axId val="158252032"/>
      </c:lineChart>
      <c:catAx>
        <c:axId val="158250112"/>
        <c:scaling>
          <c:orientation val="minMax"/>
        </c:scaling>
        <c:axPos val="b"/>
        <c:title>
          <c:tx>
            <c:rich>
              <a:bodyPr/>
              <a:lstStyle/>
              <a:p>
                <a:pPr>
                  <a:defRPr/>
                </a:pPr>
                <a:r>
                  <a:rPr lang="en-GB"/>
                  <a:t>Academic</a:t>
                </a:r>
                <a:r>
                  <a:rPr lang="en-GB" baseline="0"/>
                  <a:t> Year</a:t>
                </a:r>
                <a:endParaRPr lang="en-GB"/>
              </a:p>
            </c:rich>
          </c:tx>
        </c:title>
        <c:tickLblPos val="nextTo"/>
        <c:crossAx val="158252032"/>
        <c:crosses val="autoZero"/>
        <c:auto val="1"/>
        <c:lblAlgn val="ctr"/>
        <c:lblOffset val="100"/>
      </c:catAx>
      <c:valAx>
        <c:axId val="158252032"/>
        <c:scaling>
          <c:orientation val="minMax"/>
        </c:scaling>
        <c:axPos val="l"/>
        <c:majorGridlines/>
        <c:title>
          <c:tx>
            <c:rich>
              <a:bodyPr rot="-5400000" vert="horz"/>
              <a:lstStyle/>
              <a:p>
                <a:pPr>
                  <a:defRPr/>
                </a:pPr>
                <a:r>
                  <a:rPr lang="en-GB" baseline="0"/>
                  <a:t> Success  %</a:t>
                </a:r>
                <a:endParaRPr lang="en-GB"/>
              </a:p>
            </c:rich>
          </c:tx>
        </c:title>
        <c:numFmt formatCode="General" sourceLinked="1"/>
        <c:tickLblPos val="nextTo"/>
        <c:crossAx val="158250112"/>
        <c:crosses val="autoZero"/>
        <c:crossBetween val="between"/>
      </c:valAx>
    </c:plotArea>
    <c:legend>
      <c:legendPos val="r"/>
    </c:legend>
    <c:plotVisOnly val="1"/>
    <c:dispBlanksAs val="gap"/>
  </c:chart>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 Trend</a:t>
            </a:r>
            <a:r>
              <a:rPr lang="en-GB" baseline="0"/>
              <a:t> by Ethnicity                   Other Asian</a:t>
            </a:r>
            <a:endParaRPr lang="en-GB"/>
          </a:p>
        </c:rich>
      </c:tx>
      <c:layout>
        <c:manualLayout>
          <c:xMode val="edge"/>
          <c:yMode val="edge"/>
          <c:x val="0.2078317422711542"/>
          <c:y val="4.4609665427509292E-2"/>
        </c:manualLayout>
      </c:layout>
    </c:title>
    <c:plotArea>
      <c:layout/>
      <c:lineChart>
        <c:grouping val="standard"/>
        <c:ser>
          <c:idx val="0"/>
          <c:order val="0"/>
          <c:tx>
            <c:strRef>
              <c:f>Sheet1!$A$4</c:f>
              <c:strCache>
                <c:ptCount val="1"/>
                <c:pt idx="0">
                  <c:v>Males</c:v>
                </c:pt>
              </c:strCache>
            </c:strRef>
          </c:tx>
          <c:marker>
            <c:symbol val="none"/>
          </c:marker>
          <c:cat>
            <c:strRef>
              <c:f>Sheet1!$B$3:$D$3</c:f>
              <c:strCache>
                <c:ptCount val="3"/>
                <c:pt idx="0">
                  <c:v>2007-2008</c:v>
                </c:pt>
                <c:pt idx="1">
                  <c:v>2008-2009</c:v>
                </c:pt>
                <c:pt idx="2">
                  <c:v>2009-2010</c:v>
                </c:pt>
              </c:strCache>
            </c:strRef>
          </c:cat>
          <c:val>
            <c:numRef>
              <c:f>Sheet1!$B$4:$D$4</c:f>
              <c:numCache>
                <c:formatCode>General</c:formatCode>
                <c:ptCount val="3"/>
                <c:pt idx="0">
                  <c:v>71</c:v>
                </c:pt>
                <c:pt idx="1">
                  <c:v>84</c:v>
                </c:pt>
                <c:pt idx="2">
                  <c:v>71</c:v>
                </c:pt>
              </c:numCache>
            </c:numRef>
          </c:val>
        </c:ser>
        <c:ser>
          <c:idx val="1"/>
          <c:order val="1"/>
          <c:tx>
            <c:strRef>
              <c:f>Sheet1!$A$5</c:f>
              <c:strCache>
                <c:ptCount val="1"/>
                <c:pt idx="0">
                  <c:v>Females</c:v>
                </c:pt>
              </c:strCache>
            </c:strRef>
          </c:tx>
          <c:marker>
            <c:symbol val="none"/>
          </c:marker>
          <c:cat>
            <c:strRef>
              <c:f>Sheet1!$B$3:$D$3</c:f>
              <c:strCache>
                <c:ptCount val="3"/>
                <c:pt idx="0">
                  <c:v>2007-2008</c:v>
                </c:pt>
                <c:pt idx="1">
                  <c:v>2008-2009</c:v>
                </c:pt>
                <c:pt idx="2">
                  <c:v>2009-2010</c:v>
                </c:pt>
              </c:strCache>
            </c:strRef>
          </c:cat>
          <c:val>
            <c:numRef>
              <c:f>Sheet1!$B$5:$D$5</c:f>
              <c:numCache>
                <c:formatCode>General</c:formatCode>
                <c:ptCount val="3"/>
                <c:pt idx="0">
                  <c:v>72.7</c:v>
                </c:pt>
                <c:pt idx="1">
                  <c:v>82.2</c:v>
                </c:pt>
                <c:pt idx="2">
                  <c:v>72.7</c:v>
                </c:pt>
              </c:numCache>
            </c:numRef>
          </c:val>
        </c:ser>
        <c:marker val="1"/>
        <c:axId val="158371840"/>
        <c:axId val="158373760"/>
      </c:lineChart>
      <c:catAx>
        <c:axId val="158371840"/>
        <c:scaling>
          <c:orientation val="minMax"/>
        </c:scaling>
        <c:axPos val="b"/>
        <c:title>
          <c:tx>
            <c:rich>
              <a:bodyPr/>
              <a:lstStyle/>
              <a:p>
                <a:pPr>
                  <a:defRPr/>
                </a:pPr>
                <a:r>
                  <a:rPr lang="en-GB"/>
                  <a:t>Academic</a:t>
                </a:r>
                <a:r>
                  <a:rPr lang="en-GB" baseline="0"/>
                  <a:t> Year</a:t>
                </a:r>
                <a:endParaRPr lang="en-GB"/>
              </a:p>
            </c:rich>
          </c:tx>
        </c:title>
        <c:tickLblPos val="nextTo"/>
        <c:crossAx val="158373760"/>
        <c:crosses val="autoZero"/>
        <c:auto val="1"/>
        <c:lblAlgn val="ctr"/>
        <c:lblOffset val="100"/>
      </c:catAx>
      <c:valAx>
        <c:axId val="158373760"/>
        <c:scaling>
          <c:orientation val="minMax"/>
        </c:scaling>
        <c:axPos val="l"/>
        <c:majorGridlines/>
        <c:title>
          <c:tx>
            <c:rich>
              <a:bodyPr rot="-5400000" vert="horz"/>
              <a:lstStyle/>
              <a:p>
                <a:pPr>
                  <a:defRPr/>
                </a:pPr>
                <a:r>
                  <a:rPr lang="en-GB" baseline="0"/>
                  <a:t> Success  %</a:t>
                </a:r>
                <a:endParaRPr lang="en-GB"/>
              </a:p>
            </c:rich>
          </c:tx>
        </c:title>
        <c:numFmt formatCode="General" sourceLinked="1"/>
        <c:tickLblPos val="nextTo"/>
        <c:crossAx val="158371840"/>
        <c:crosses val="autoZero"/>
        <c:crossBetween val="between"/>
      </c:valAx>
    </c:plotArea>
    <c:legend>
      <c:legendPos val="r"/>
    </c:legend>
    <c:plotVisOnly val="1"/>
    <c:dispBlanksAs val="gap"/>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 Trend</a:t>
            </a:r>
            <a:r>
              <a:rPr lang="en-GB" baseline="0"/>
              <a:t> by Ethnicity                  Mixed White &amp; Black Caribbean</a:t>
            </a:r>
            <a:endParaRPr lang="en-GB"/>
          </a:p>
        </c:rich>
      </c:tx>
      <c:layout>
        <c:manualLayout>
          <c:xMode val="edge"/>
          <c:yMode val="edge"/>
          <c:x val="0.10847006651884701"/>
          <c:y val="3.0888030888030892E-2"/>
        </c:manualLayout>
      </c:layout>
    </c:title>
    <c:plotArea>
      <c:layout/>
      <c:lineChart>
        <c:grouping val="standard"/>
        <c:ser>
          <c:idx val="0"/>
          <c:order val="0"/>
          <c:tx>
            <c:strRef>
              <c:f>Sheet1!$A$4</c:f>
              <c:strCache>
                <c:ptCount val="1"/>
                <c:pt idx="0">
                  <c:v>Males</c:v>
                </c:pt>
              </c:strCache>
            </c:strRef>
          </c:tx>
          <c:marker>
            <c:symbol val="none"/>
          </c:marker>
          <c:cat>
            <c:strRef>
              <c:f>Sheet1!$B$3:$D$3</c:f>
              <c:strCache>
                <c:ptCount val="3"/>
                <c:pt idx="0">
                  <c:v>2007-2008</c:v>
                </c:pt>
                <c:pt idx="1">
                  <c:v>2008-2009</c:v>
                </c:pt>
                <c:pt idx="2">
                  <c:v>2009-2010</c:v>
                </c:pt>
              </c:strCache>
            </c:strRef>
          </c:cat>
          <c:val>
            <c:numRef>
              <c:f>Sheet1!$B$4:$D$4</c:f>
              <c:numCache>
                <c:formatCode>General</c:formatCode>
                <c:ptCount val="3"/>
                <c:pt idx="0">
                  <c:v>57.1</c:v>
                </c:pt>
                <c:pt idx="1">
                  <c:v>83.9</c:v>
                </c:pt>
                <c:pt idx="2">
                  <c:v>100</c:v>
                </c:pt>
              </c:numCache>
            </c:numRef>
          </c:val>
        </c:ser>
        <c:ser>
          <c:idx val="1"/>
          <c:order val="1"/>
          <c:tx>
            <c:strRef>
              <c:f>Sheet1!$A$5</c:f>
              <c:strCache>
                <c:ptCount val="1"/>
                <c:pt idx="0">
                  <c:v>Females</c:v>
                </c:pt>
              </c:strCache>
            </c:strRef>
          </c:tx>
          <c:marker>
            <c:symbol val="none"/>
          </c:marker>
          <c:cat>
            <c:strRef>
              <c:f>Sheet1!$B$3:$D$3</c:f>
              <c:strCache>
                <c:ptCount val="3"/>
                <c:pt idx="0">
                  <c:v>2007-2008</c:v>
                </c:pt>
                <c:pt idx="1">
                  <c:v>2008-2009</c:v>
                </c:pt>
                <c:pt idx="2">
                  <c:v>2009-2010</c:v>
                </c:pt>
              </c:strCache>
            </c:strRef>
          </c:cat>
          <c:val>
            <c:numRef>
              <c:f>Sheet1!$B$5:$D$5</c:f>
              <c:numCache>
                <c:formatCode>General</c:formatCode>
                <c:ptCount val="3"/>
                <c:pt idx="0">
                  <c:v>77.8</c:v>
                </c:pt>
                <c:pt idx="1">
                  <c:v>56.3</c:v>
                </c:pt>
                <c:pt idx="2">
                  <c:v>51</c:v>
                </c:pt>
              </c:numCache>
            </c:numRef>
          </c:val>
        </c:ser>
        <c:marker val="1"/>
        <c:axId val="158386816"/>
        <c:axId val="158397184"/>
      </c:lineChart>
      <c:catAx>
        <c:axId val="158386816"/>
        <c:scaling>
          <c:orientation val="minMax"/>
        </c:scaling>
        <c:axPos val="b"/>
        <c:title>
          <c:tx>
            <c:rich>
              <a:bodyPr/>
              <a:lstStyle/>
              <a:p>
                <a:pPr>
                  <a:defRPr/>
                </a:pPr>
                <a:r>
                  <a:rPr lang="en-GB"/>
                  <a:t>Academic</a:t>
                </a:r>
                <a:r>
                  <a:rPr lang="en-GB" baseline="0"/>
                  <a:t> Year</a:t>
                </a:r>
                <a:endParaRPr lang="en-GB"/>
              </a:p>
            </c:rich>
          </c:tx>
        </c:title>
        <c:tickLblPos val="nextTo"/>
        <c:crossAx val="158397184"/>
        <c:crosses val="autoZero"/>
        <c:auto val="1"/>
        <c:lblAlgn val="ctr"/>
        <c:lblOffset val="100"/>
      </c:catAx>
      <c:valAx>
        <c:axId val="158397184"/>
        <c:scaling>
          <c:orientation val="minMax"/>
        </c:scaling>
        <c:axPos val="l"/>
        <c:majorGridlines/>
        <c:title>
          <c:tx>
            <c:rich>
              <a:bodyPr rot="-5400000" vert="horz"/>
              <a:lstStyle/>
              <a:p>
                <a:pPr>
                  <a:defRPr/>
                </a:pPr>
                <a:r>
                  <a:rPr lang="en-GB" baseline="0"/>
                  <a:t> Success  %</a:t>
                </a:r>
                <a:endParaRPr lang="en-GB"/>
              </a:p>
            </c:rich>
          </c:tx>
        </c:title>
        <c:numFmt formatCode="General" sourceLinked="1"/>
        <c:tickLblPos val="nextTo"/>
        <c:crossAx val="158386816"/>
        <c:crosses val="autoZero"/>
        <c:crossBetween val="between"/>
      </c:valAx>
    </c:plotArea>
    <c:legend>
      <c:legendPos val="r"/>
    </c:legend>
    <c:plotVisOnly val="1"/>
    <c:dispBlanksAs val="gap"/>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 Trend</a:t>
            </a:r>
            <a:r>
              <a:rPr lang="en-GB" baseline="0"/>
              <a:t> by Ethnicity                      Mixed White &amp; Asian</a:t>
            </a:r>
            <a:endParaRPr lang="en-GB"/>
          </a:p>
        </c:rich>
      </c:tx>
      <c:layout>
        <c:manualLayout>
          <c:xMode val="edge"/>
          <c:yMode val="edge"/>
          <c:x val="0.22204155730533684"/>
          <c:y val="2.7777777777777964E-2"/>
        </c:manualLayout>
      </c:layout>
    </c:title>
    <c:plotArea>
      <c:layout/>
      <c:lineChart>
        <c:grouping val="standard"/>
        <c:ser>
          <c:idx val="0"/>
          <c:order val="0"/>
          <c:tx>
            <c:strRef>
              <c:f>Sheet1!$A$4</c:f>
              <c:strCache>
                <c:ptCount val="1"/>
                <c:pt idx="0">
                  <c:v>Males</c:v>
                </c:pt>
              </c:strCache>
            </c:strRef>
          </c:tx>
          <c:marker>
            <c:symbol val="none"/>
          </c:marker>
          <c:cat>
            <c:strRef>
              <c:f>Sheet1!$B$3:$D$3</c:f>
              <c:strCache>
                <c:ptCount val="3"/>
                <c:pt idx="0">
                  <c:v>2007-2008</c:v>
                </c:pt>
                <c:pt idx="1">
                  <c:v>2008-2009</c:v>
                </c:pt>
                <c:pt idx="2">
                  <c:v>2009-2010</c:v>
                </c:pt>
              </c:strCache>
            </c:strRef>
          </c:cat>
          <c:val>
            <c:numRef>
              <c:f>Sheet1!$B$4:$D$4</c:f>
              <c:numCache>
                <c:formatCode>General</c:formatCode>
                <c:ptCount val="3"/>
                <c:pt idx="0">
                  <c:v>71.400000000000006</c:v>
                </c:pt>
                <c:pt idx="1">
                  <c:v>88.9</c:v>
                </c:pt>
                <c:pt idx="2">
                  <c:v>100</c:v>
                </c:pt>
              </c:numCache>
            </c:numRef>
          </c:val>
        </c:ser>
        <c:ser>
          <c:idx val="1"/>
          <c:order val="1"/>
          <c:tx>
            <c:strRef>
              <c:f>Sheet1!$A$5</c:f>
              <c:strCache>
                <c:ptCount val="1"/>
                <c:pt idx="0">
                  <c:v>Females</c:v>
                </c:pt>
              </c:strCache>
            </c:strRef>
          </c:tx>
          <c:marker>
            <c:symbol val="none"/>
          </c:marker>
          <c:cat>
            <c:strRef>
              <c:f>Sheet1!$B$3:$D$3</c:f>
              <c:strCache>
                <c:ptCount val="3"/>
                <c:pt idx="0">
                  <c:v>2007-2008</c:v>
                </c:pt>
                <c:pt idx="1">
                  <c:v>2008-2009</c:v>
                </c:pt>
                <c:pt idx="2">
                  <c:v>2009-2010</c:v>
                </c:pt>
              </c:strCache>
            </c:strRef>
          </c:cat>
          <c:val>
            <c:numRef>
              <c:f>Sheet1!$B$5:$D$5</c:f>
              <c:numCache>
                <c:formatCode>General</c:formatCode>
                <c:ptCount val="3"/>
                <c:pt idx="0">
                  <c:v>90</c:v>
                </c:pt>
                <c:pt idx="1">
                  <c:v>63.5</c:v>
                </c:pt>
                <c:pt idx="2">
                  <c:v>80.599999999999994</c:v>
                </c:pt>
              </c:numCache>
            </c:numRef>
          </c:val>
        </c:ser>
        <c:marker val="1"/>
        <c:axId val="158422528"/>
        <c:axId val="158424448"/>
      </c:lineChart>
      <c:catAx>
        <c:axId val="158422528"/>
        <c:scaling>
          <c:orientation val="minMax"/>
        </c:scaling>
        <c:axPos val="b"/>
        <c:title>
          <c:tx>
            <c:rich>
              <a:bodyPr/>
              <a:lstStyle/>
              <a:p>
                <a:pPr>
                  <a:defRPr/>
                </a:pPr>
                <a:r>
                  <a:rPr lang="en-GB"/>
                  <a:t>Academic</a:t>
                </a:r>
                <a:r>
                  <a:rPr lang="en-GB" baseline="0"/>
                  <a:t> Year</a:t>
                </a:r>
                <a:endParaRPr lang="en-GB"/>
              </a:p>
            </c:rich>
          </c:tx>
        </c:title>
        <c:tickLblPos val="nextTo"/>
        <c:crossAx val="158424448"/>
        <c:crosses val="autoZero"/>
        <c:auto val="1"/>
        <c:lblAlgn val="ctr"/>
        <c:lblOffset val="100"/>
      </c:catAx>
      <c:valAx>
        <c:axId val="158424448"/>
        <c:scaling>
          <c:orientation val="minMax"/>
        </c:scaling>
        <c:axPos val="l"/>
        <c:majorGridlines/>
        <c:title>
          <c:tx>
            <c:rich>
              <a:bodyPr rot="-5400000" vert="horz"/>
              <a:lstStyle/>
              <a:p>
                <a:pPr>
                  <a:defRPr/>
                </a:pPr>
                <a:r>
                  <a:rPr lang="en-GB" baseline="0"/>
                  <a:t> Success  &amp;</a:t>
                </a:r>
                <a:endParaRPr lang="en-GB"/>
              </a:p>
            </c:rich>
          </c:tx>
        </c:title>
        <c:numFmt formatCode="General" sourceLinked="1"/>
        <c:tickLblPos val="nextTo"/>
        <c:crossAx val="158422528"/>
        <c:crosses val="autoZero"/>
        <c:crossBetween val="between"/>
      </c:valAx>
    </c:plotArea>
    <c:legend>
      <c:legendPos val="r"/>
    </c:legend>
    <c:plotVisOnly val="1"/>
    <c:dispBlanksAs val="gap"/>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 Trend</a:t>
            </a:r>
            <a:r>
              <a:rPr lang="en-GB" baseline="0"/>
              <a:t> by Ethnicity                       Other Mixed Background</a:t>
            </a:r>
            <a:endParaRPr lang="en-GB"/>
          </a:p>
        </c:rich>
      </c:tx>
      <c:layout>
        <c:manualLayout>
          <c:xMode val="edge"/>
          <c:yMode val="edge"/>
          <c:x val="0.18486111111111159"/>
          <c:y val="2.7777777777777964E-2"/>
        </c:manualLayout>
      </c:layout>
    </c:title>
    <c:plotArea>
      <c:layout/>
      <c:lineChart>
        <c:grouping val="standard"/>
        <c:ser>
          <c:idx val="0"/>
          <c:order val="0"/>
          <c:tx>
            <c:strRef>
              <c:f>Sheet1!$A$4</c:f>
              <c:strCache>
                <c:ptCount val="1"/>
                <c:pt idx="0">
                  <c:v>Males</c:v>
                </c:pt>
              </c:strCache>
            </c:strRef>
          </c:tx>
          <c:marker>
            <c:symbol val="none"/>
          </c:marker>
          <c:cat>
            <c:strRef>
              <c:f>Sheet1!$B$3:$D$3</c:f>
              <c:strCache>
                <c:ptCount val="3"/>
                <c:pt idx="0">
                  <c:v>2007-2008</c:v>
                </c:pt>
                <c:pt idx="1">
                  <c:v>2008-2009</c:v>
                </c:pt>
                <c:pt idx="2">
                  <c:v>2009-2010</c:v>
                </c:pt>
              </c:strCache>
            </c:strRef>
          </c:cat>
          <c:val>
            <c:numRef>
              <c:f>Sheet1!$B$4:$D$4</c:f>
              <c:numCache>
                <c:formatCode>General</c:formatCode>
                <c:ptCount val="3"/>
                <c:pt idx="0">
                  <c:v>100</c:v>
                </c:pt>
                <c:pt idx="1">
                  <c:v>66.7</c:v>
                </c:pt>
                <c:pt idx="2">
                  <c:v>81.599999999999994</c:v>
                </c:pt>
              </c:numCache>
            </c:numRef>
          </c:val>
        </c:ser>
        <c:ser>
          <c:idx val="1"/>
          <c:order val="1"/>
          <c:tx>
            <c:strRef>
              <c:f>Sheet1!$A$5</c:f>
              <c:strCache>
                <c:ptCount val="1"/>
                <c:pt idx="0">
                  <c:v>Females</c:v>
                </c:pt>
              </c:strCache>
            </c:strRef>
          </c:tx>
          <c:marker>
            <c:symbol val="none"/>
          </c:marker>
          <c:cat>
            <c:strRef>
              <c:f>Sheet1!$B$3:$D$3</c:f>
              <c:strCache>
                <c:ptCount val="3"/>
                <c:pt idx="0">
                  <c:v>2007-2008</c:v>
                </c:pt>
                <c:pt idx="1">
                  <c:v>2008-2009</c:v>
                </c:pt>
                <c:pt idx="2">
                  <c:v>2009-2010</c:v>
                </c:pt>
              </c:strCache>
            </c:strRef>
          </c:cat>
          <c:val>
            <c:numRef>
              <c:f>Sheet1!$B$5:$D$5</c:f>
              <c:numCache>
                <c:formatCode>General</c:formatCode>
                <c:ptCount val="3"/>
                <c:pt idx="0">
                  <c:v>100</c:v>
                </c:pt>
                <c:pt idx="1">
                  <c:v>69.2</c:v>
                </c:pt>
                <c:pt idx="2">
                  <c:v>58.5</c:v>
                </c:pt>
              </c:numCache>
            </c:numRef>
          </c:val>
        </c:ser>
        <c:marker val="1"/>
        <c:axId val="158499200"/>
        <c:axId val="158501120"/>
      </c:lineChart>
      <c:catAx>
        <c:axId val="158499200"/>
        <c:scaling>
          <c:orientation val="minMax"/>
        </c:scaling>
        <c:axPos val="b"/>
        <c:title>
          <c:tx>
            <c:rich>
              <a:bodyPr/>
              <a:lstStyle/>
              <a:p>
                <a:pPr>
                  <a:defRPr/>
                </a:pPr>
                <a:r>
                  <a:rPr lang="en-GB"/>
                  <a:t>Academic</a:t>
                </a:r>
                <a:r>
                  <a:rPr lang="en-GB" baseline="0"/>
                  <a:t> Year</a:t>
                </a:r>
                <a:endParaRPr lang="en-GB"/>
              </a:p>
            </c:rich>
          </c:tx>
        </c:title>
        <c:tickLblPos val="nextTo"/>
        <c:crossAx val="158501120"/>
        <c:crosses val="autoZero"/>
        <c:auto val="1"/>
        <c:lblAlgn val="ctr"/>
        <c:lblOffset val="100"/>
      </c:catAx>
      <c:valAx>
        <c:axId val="158501120"/>
        <c:scaling>
          <c:orientation val="minMax"/>
        </c:scaling>
        <c:axPos val="l"/>
        <c:majorGridlines/>
        <c:title>
          <c:tx>
            <c:rich>
              <a:bodyPr rot="-5400000" vert="horz"/>
              <a:lstStyle/>
              <a:p>
                <a:pPr>
                  <a:defRPr/>
                </a:pPr>
                <a:r>
                  <a:rPr lang="en-GB" baseline="0"/>
                  <a:t> Success  %</a:t>
                </a:r>
                <a:endParaRPr lang="en-GB"/>
              </a:p>
            </c:rich>
          </c:tx>
        </c:title>
        <c:numFmt formatCode="General" sourceLinked="1"/>
        <c:tickLblPos val="nextTo"/>
        <c:crossAx val="158499200"/>
        <c:crosses val="autoZero"/>
        <c:crossBetween val="between"/>
      </c:valAx>
    </c:plotArea>
    <c:legend>
      <c:legendPos val="r"/>
    </c:legend>
    <c:plotVisOnly val="1"/>
    <c:dispBlanksAs val="gap"/>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 Trend</a:t>
            </a:r>
            <a:r>
              <a:rPr lang="en-GB" baseline="0"/>
              <a:t> by Ethnicity                       Other Ethnic Background</a:t>
            </a:r>
            <a:endParaRPr lang="en-GB"/>
          </a:p>
        </c:rich>
      </c:tx>
      <c:layout>
        <c:manualLayout>
          <c:xMode val="edge"/>
          <c:yMode val="edge"/>
          <c:x val="0.18976377952755921"/>
          <c:y val="2.3148148148148147E-2"/>
        </c:manualLayout>
      </c:layout>
    </c:title>
    <c:plotArea>
      <c:layout/>
      <c:lineChart>
        <c:grouping val="standard"/>
        <c:ser>
          <c:idx val="0"/>
          <c:order val="0"/>
          <c:tx>
            <c:strRef>
              <c:f>Sheet1!$A$4</c:f>
              <c:strCache>
                <c:ptCount val="1"/>
                <c:pt idx="0">
                  <c:v>Males</c:v>
                </c:pt>
              </c:strCache>
            </c:strRef>
          </c:tx>
          <c:marker>
            <c:symbol val="none"/>
          </c:marker>
          <c:cat>
            <c:strRef>
              <c:f>Sheet1!$B$3:$D$3</c:f>
              <c:strCache>
                <c:ptCount val="3"/>
                <c:pt idx="0">
                  <c:v>2007-2008</c:v>
                </c:pt>
                <c:pt idx="1">
                  <c:v>2008-2009</c:v>
                </c:pt>
                <c:pt idx="2">
                  <c:v>2009-2010</c:v>
                </c:pt>
              </c:strCache>
            </c:strRef>
          </c:cat>
          <c:val>
            <c:numRef>
              <c:f>Sheet1!$B$4:$D$4</c:f>
              <c:numCache>
                <c:formatCode>General</c:formatCode>
                <c:ptCount val="3"/>
                <c:pt idx="0">
                  <c:v>77.8</c:v>
                </c:pt>
                <c:pt idx="1">
                  <c:v>89.5</c:v>
                </c:pt>
                <c:pt idx="2">
                  <c:v>81.599999999999994</c:v>
                </c:pt>
              </c:numCache>
            </c:numRef>
          </c:val>
        </c:ser>
        <c:ser>
          <c:idx val="1"/>
          <c:order val="1"/>
          <c:tx>
            <c:strRef>
              <c:f>Sheet1!$A$5</c:f>
              <c:strCache>
                <c:ptCount val="1"/>
                <c:pt idx="0">
                  <c:v>Females</c:v>
                </c:pt>
              </c:strCache>
            </c:strRef>
          </c:tx>
          <c:marker>
            <c:symbol val="none"/>
          </c:marker>
          <c:cat>
            <c:strRef>
              <c:f>Sheet1!$B$3:$D$3</c:f>
              <c:strCache>
                <c:ptCount val="3"/>
                <c:pt idx="0">
                  <c:v>2007-2008</c:v>
                </c:pt>
                <c:pt idx="1">
                  <c:v>2008-2009</c:v>
                </c:pt>
                <c:pt idx="2">
                  <c:v>2009-2010</c:v>
                </c:pt>
              </c:strCache>
            </c:strRef>
          </c:cat>
          <c:val>
            <c:numRef>
              <c:f>Sheet1!$B$5:$D$5</c:f>
              <c:numCache>
                <c:formatCode>General</c:formatCode>
                <c:ptCount val="3"/>
                <c:pt idx="0">
                  <c:v>40</c:v>
                </c:pt>
                <c:pt idx="1">
                  <c:v>65</c:v>
                </c:pt>
                <c:pt idx="2">
                  <c:v>58.5</c:v>
                </c:pt>
              </c:numCache>
            </c:numRef>
          </c:val>
        </c:ser>
        <c:marker val="1"/>
        <c:axId val="158510080"/>
        <c:axId val="158540928"/>
      </c:lineChart>
      <c:catAx>
        <c:axId val="158510080"/>
        <c:scaling>
          <c:orientation val="minMax"/>
        </c:scaling>
        <c:axPos val="b"/>
        <c:title>
          <c:tx>
            <c:rich>
              <a:bodyPr/>
              <a:lstStyle/>
              <a:p>
                <a:pPr>
                  <a:defRPr/>
                </a:pPr>
                <a:r>
                  <a:rPr lang="en-GB"/>
                  <a:t>Academic</a:t>
                </a:r>
                <a:r>
                  <a:rPr lang="en-GB" baseline="0"/>
                  <a:t> Year</a:t>
                </a:r>
                <a:endParaRPr lang="en-GB"/>
              </a:p>
            </c:rich>
          </c:tx>
        </c:title>
        <c:tickLblPos val="nextTo"/>
        <c:crossAx val="158540928"/>
        <c:crosses val="autoZero"/>
        <c:auto val="1"/>
        <c:lblAlgn val="ctr"/>
        <c:lblOffset val="100"/>
      </c:catAx>
      <c:valAx>
        <c:axId val="158540928"/>
        <c:scaling>
          <c:orientation val="minMax"/>
        </c:scaling>
        <c:axPos val="l"/>
        <c:majorGridlines/>
        <c:title>
          <c:tx>
            <c:rich>
              <a:bodyPr rot="-5400000" vert="horz"/>
              <a:lstStyle/>
              <a:p>
                <a:pPr>
                  <a:defRPr/>
                </a:pPr>
                <a:r>
                  <a:rPr lang="en-GB" baseline="0"/>
                  <a:t> Success  %</a:t>
                </a:r>
                <a:endParaRPr lang="en-GB"/>
              </a:p>
            </c:rich>
          </c:tx>
        </c:title>
        <c:numFmt formatCode="General" sourceLinked="1"/>
        <c:tickLblPos val="nextTo"/>
        <c:crossAx val="158510080"/>
        <c:crosses val="autoZero"/>
        <c:crossBetween val="between"/>
      </c:valAx>
    </c:plotArea>
    <c:legend>
      <c:legendPos val="r"/>
    </c:legend>
    <c:plotVisOnly val="1"/>
    <c:dispBlanksAs val="gap"/>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 Trend</a:t>
            </a:r>
            <a:r>
              <a:rPr lang="en-GB" baseline="0"/>
              <a:t> by Ethnicity            Information Refused</a:t>
            </a:r>
            <a:endParaRPr lang="en-GB"/>
          </a:p>
        </c:rich>
      </c:tx>
      <c:layout>
        <c:manualLayout>
          <c:xMode val="edge"/>
          <c:yMode val="edge"/>
          <c:x val="0.24812489063867016"/>
          <c:y val="3.7037037037037056E-2"/>
        </c:manualLayout>
      </c:layout>
    </c:title>
    <c:plotArea>
      <c:layout/>
      <c:lineChart>
        <c:grouping val="standard"/>
        <c:ser>
          <c:idx val="0"/>
          <c:order val="0"/>
          <c:tx>
            <c:strRef>
              <c:f>Sheet1!$A$4</c:f>
              <c:strCache>
                <c:ptCount val="1"/>
                <c:pt idx="0">
                  <c:v>Males</c:v>
                </c:pt>
              </c:strCache>
            </c:strRef>
          </c:tx>
          <c:marker>
            <c:symbol val="none"/>
          </c:marker>
          <c:cat>
            <c:strRef>
              <c:f>Sheet1!$B$3:$D$3</c:f>
              <c:strCache>
                <c:ptCount val="3"/>
                <c:pt idx="0">
                  <c:v>2007-2008</c:v>
                </c:pt>
                <c:pt idx="1">
                  <c:v>2008-2009</c:v>
                </c:pt>
                <c:pt idx="2">
                  <c:v>2009-2010</c:v>
                </c:pt>
              </c:strCache>
            </c:strRef>
          </c:cat>
          <c:val>
            <c:numRef>
              <c:f>Sheet1!$B$4:$D$4</c:f>
              <c:numCache>
                <c:formatCode>General</c:formatCode>
                <c:ptCount val="3"/>
                <c:pt idx="0">
                  <c:v>100</c:v>
                </c:pt>
                <c:pt idx="1">
                  <c:v>91.7</c:v>
                </c:pt>
                <c:pt idx="2">
                  <c:v>58.2</c:v>
                </c:pt>
              </c:numCache>
            </c:numRef>
          </c:val>
        </c:ser>
        <c:ser>
          <c:idx val="1"/>
          <c:order val="1"/>
          <c:tx>
            <c:strRef>
              <c:f>Sheet1!$A$5</c:f>
              <c:strCache>
                <c:ptCount val="1"/>
                <c:pt idx="0">
                  <c:v>Females</c:v>
                </c:pt>
              </c:strCache>
            </c:strRef>
          </c:tx>
          <c:marker>
            <c:symbol val="none"/>
          </c:marker>
          <c:cat>
            <c:strRef>
              <c:f>Sheet1!$B$3:$D$3</c:f>
              <c:strCache>
                <c:ptCount val="3"/>
                <c:pt idx="0">
                  <c:v>2007-2008</c:v>
                </c:pt>
                <c:pt idx="1">
                  <c:v>2008-2009</c:v>
                </c:pt>
                <c:pt idx="2">
                  <c:v>2009-2010</c:v>
                </c:pt>
              </c:strCache>
            </c:strRef>
          </c:cat>
          <c:val>
            <c:numRef>
              <c:f>Sheet1!$B$5:$D$5</c:f>
              <c:numCache>
                <c:formatCode>General</c:formatCode>
                <c:ptCount val="3"/>
                <c:pt idx="0">
                  <c:v>68.400000000000006</c:v>
                </c:pt>
                <c:pt idx="1">
                  <c:v>91.3</c:v>
                </c:pt>
                <c:pt idx="2">
                  <c:v>98.1</c:v>
                </c:pt>
              </c:numCache>
            </c:numRef>
          </c:val>
        </c:ser>
        <c:marker val="1"/>
        <c:axId val="158562176"/>
        <c:axId val="158580736"/>
      </c:lineChart>
      <c:catAx>
        <c:axId val="158562176"/>
        <c:scaling>
          <c:orientation val="minMax"/>
        </c:scaling>
        <c:axPos val="b"/>
        <c:title>
          <c:tx>
            <c:rich>
              <a:bodyPr/>
              <a:lstStyle/>
              <a:p>
                <a:pPr>
                  <a:defRPr/>
                </a:pPr>
                <a:r>
                  <a:rPr lang="en-GB"/>
                  <a:t>Academic</a:t>
                </a:r>
                <a:r>
                  <a:rPr lang="en-GB" baseline="0"/>
                  <a:t> Year</a:t>
                </a:r>
                <a:endParaRPr lang="en-GB"/>
              </a:p>
            </c:rich>
          </c:tx>
        </c:title>
        <c:tickLblPos val="nextTo"/>
        <c:crossAx val="158580736"/>
        <c:crosses val="autoZero"/>
        <c:auto val="1"/>
        <c:lblAlgn val="ctr"/>
        <c:lblOffset val="100"/>
      </c:catAx>
      <c:valAx>
        <c:axId val="158580736"/>
        <c:scaling>
          <c:orientation val="minMax"/>
        </c:scaling>
        <c:axPos val="l"/>
        <c:majorGridlines/>
        <c:title>
          <c:tx>
            <c:rich>
              <a:bodyPr rot="-5400000" vert="horz"/>
              <a:lstStyle/>
              <a:p>
                <a:pPr>
                  <a:defRPr/>
                </a:pPr>
                <a:r>
                  <a:rPr lang="en-GB" baseline="0"/>
                  <a:t> Success  %</a:t>
                </a:r>
                <a:endParaRPr lang="en-GB"/>
              </a:p>
            </c:rich>
          </c:tx>
        </c:title>
        <c:numFmt formatCode="General" sourceLinked="1"/>
        <c:tickLblPos val="nextTo"/>
        <c:crossAx val="158562176"/>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Gender</a:t>
            </a:r>
            <a:r>
              <a:rPr lang="en-GB" baseline="0"/>
              <a:t> Analysis 2008-2009</a:t>
            </a:r>
            <a:endParaRPr lang="en-GB"/>
          </a:p>
        </c:rich>
      </c:tx>
    </c:title>
    <c:view3D>
      <c:rAngAx val="1"/>
    </c:view3D>
    <c:plotArea>
      <c:layout/>
      <c:bar3DChart>
        <c:barDir val="col"/>
        <c:grouping val="clustered"/>
        <c:ser>
          <c:idx val="0"/>
          <c:order val="0"/>
          <c:tx>
            <c:strRef>
              <c:f>Sheet1!$A$4</c:f>
              <c:strCache>
                <c:ptCount val="1"/>
                <c:pt idx="0">
                  <c:v>Males</c:v>
                </c:pt>
              </c:strCache>
            </c:strRef>
          </c:tx>
          <c:cat>
            <c:strRef>
              <c:f>Sheet1!$B$3:$D$3</c:f>
              <c:strCache>
                <c:ptCount val="3"/>
                <c:pt idx="0">
                  <c:v>Retention</c:v>
                </c:pt>
                <c:pt idx="1">
                  <c:v>Attainment</c:v>
                </c:pt>
                <c:pt idx="2">
                  <c:v>Success</c:v>
                </c:pt>
              </c:strCache>
            </c:strRef>
          </c:cat>
          <c:val>
            <c:numRef>
              <c:f>Sheet1!$B$4:$D$4</c:f>
              <c:numCache>
                <c:formatCode>General</c:formatCode>
                <c:ptCount val="3"/>
                <c:pt idx="0">
                  <c:v>98.7</c:v>
                </c:pt>
                <c:pt idx="1">
                  <c:v>76</c:v>
                </c:pt>
                <c:pt idx="2">
                  <c:v>75</c:v>
                </c:pt>
              </c:numCache>
            </c:numRef>
          </c:val>
        </c:ser>
        <c:ser>
          <c:idx val="1"/>
          <c:order val="1"/>
          <c:tx>
            <c:strRef>
              <c:f>Sheet1!$A$5</c:f>
              <c:strCache>
                <c:ptCount val="1"/>
                <c:pt idx="0">
                  <c:v>Females</c:v>
                </c:pt>
              </c:strCache>
            </c:strRef>
          </c:tx>
          <c:cat>
            <c:strRef>
              <c:f>Sheet1!$B$3:$D$3</c:f>
              <c:strCache>
                <c:ptCount val="3"/>
                <c:pt idx="0">
                  <c:v>Retention</c:v>
                </c:pt>
                <c:pt idx="1">
                  <c:v>Attainment</c:v>
                </c:pt>
                <c:pt idx="2">
                  <c:v>Success</c:v>
                </c:pt>
              </c:strCache>
            </c:strRef>
          </c:cat>
          <c:val>
            <c:numRef>
              <c:f>Sheet1!$B$5:$D$5</c:f>
              <c:numCache>
                <c:formatCode>General</c:formatCode>
                <c:ptCount val="3"/>
                <c:pt idx="0">
                  <c:v>98.2</c:v>
                </c:pt>
                <c:pt idx="1">
                  <c:v>76.099999999999994</c:v>
                </c:pt>
                <c:pt idx="2">
                  <c:v>74.7</c:v>
                </c:pt>
              </c:numCache>
            </c:numRef>
          </c:val>
        </c:ser>
        <c:shape val="box"/>
        <c:axId val="91271552"/>
        <c:axId val="91273088"/>
        <c:axId val="0"/>
      </c:bar3DChart>
      <c:catAx>
        <c:axId val="91271552"/>
        <c:scaling>
          <c:orientation val="minMax"/>
        </c:scaling>
        <c:axPos val="b"/>
        <c:tickLblPos val="nextTo"/>
        <c:crossAx val="91273088"/>
        <c:crosses val="autoZero"/>
        <c:auto val="1"/>
        <c:lblAlgn val="ctr"/>
        <c:lblOffset val="100"/>
      </c:catAx>
      <c:valAx>
        <c:axId val="91273088"/>
        <c:scaling>
          <c:orientation val="minMax"/>
        </c:scaling>
        <c:axPos val="l"/>
        <c:majorGridlines/>
        <c:title>
          <c:tx>
            <c:rich>
              <a:bodyPr rot="-5400000" vert="horz"/>
              <a:lstStyle/>
              <a:p>
                <a:pPr>
                  <a:defRPr/>
                </a:pPr>
                <a:r>
                  <a:rPr lang="en-GB"/>
                  <a:t>Percentage</a:t>
                </a:r>
                <a:r>
                  <a:rPr lang="en-GB" baseline="0"/>
                  <a:t> %</a:t>
                </a:r>
                <a:endParaRPr lang="en-GB"/>
              </a:p>
            </c:rich>
          </c:tx>
        </c:title>
        <c:numFmt formatCode="General" sourceLinked="1"/>
        <c:tickLblPos val="nextTo"/>
        <c:crossAx val="91271552"/>
        <c:crosses val="autoZero"/>
        <c:crossBetween val="between"/>
      </c:valAx>
    </c:plotArea>
    <c:legend>
      <c:legendPos val="r"/>
    </c:legend>
    <c:plotVisOnly val="1"/>
    <c:dispBlanksAs val="gap"/>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 Trend</a:t>
            </a:r>
            <a:r>
              <a:rPr lang="en-GB" baseline="0"/>
              <a:t> by Ethnicity                           Not Known</a:t>
            </a:r>
            <a:endParaRPr lang="en-GB"/>
          </a:p>
        </c:rich>
      </c:tx>
      <c:layout>
        <c:manualLayout>
          <c:xMode val="edge"/>
          <c:yMode val="edge"/>
          <c:x val="0.23101377952755905"/>
          <c:y val="3.2407407407407558E-2"/>
        </c:manualLayout>
      </c:layout>
    </c:title>
    <c:plotArea>
      <c:layout/>
      <c:lineChart>
        <c:grouping val="standard"/>
        <c:ser>
          <c:idx val="0"/>
          <c:order val="0"/>
          <c:tx>
            <c:strRef>
              <c:f>Sheet1!$A$4</c:f>
              <c:strCache>
                <c:ptCount val="1"/>
                <c:pt idx="0">
                  <c:v>Males</c:v>
                </c:pt>
              </c:strCache>
            </c:strRef>
          </c:tx>
          <c:marker>
            <c:symbol val="none"/>
          </c:marker>
          <c:cat>
            <c:strRef>
              <c:f>Sheet1!$B$3:$D$3</c:f>
              <c:strCache>
                <c:ptCount val="3"/>
                <c:pt idx="0">
                  <c:v>2007-2008</c:v>
                </c:pt>
                <c:pt idx="1">
                  <c:v>2008-2009</c:v>
                </c:pt>
                <c:pt idx="2">
                  <c:v>2009-2010</c:v>
                </c:pt>
              </c:strCache>
            </c:strRef>
          </c:cat>
          <c:val>
            <c:numRef>
              <c:f>Sheet1!$B$4:$D$4</c:f>
              <c:numCache>
                <c:formatCode>General</c:formatCode>
                <c:ptCount val="3"/>
                <c:pt idx="0">
                  <c:v>56.1</c:v>
                </c:pt>
                <c:pt idx="1">
                  <c:v>80.5</c:v>
                </c:pt>
                <c:pt idx="2">
                  <c:v>79.400000000000006</c:v>
                </c:pt>
              </c:numCache>
            </c:numRef>
          </c:val>
        </c:ser>
        <c:ser>
          <c:idx val="1"/>
          <c:order val="1"/>
          <c:tx>
            <c:strRef>
              <c:f>Sheet1!$A$5</c:f>
              <c:strCache>
                <c:ptCount val="1"/>
                <c:pt idx="0">
                  <c:v>Females</c:v>
                </c:pt>
              </c:strCache>
            </c:strRef>
          </c:tx>
          <c:marker>
            <c:symbol val="none"/>
          </c:marker>
          <c:cat>
            <c:strRef>
              <c:f>Sheet1!$B$3:$D$3</c:f>
              <c:strCache>
                <c:ptCount val="3"/>
                <c:pt idx="0">
                  <c:v>2007-2008</c:v>
                </c:pt>
                <c:pt idx="1">
                  <c:v>2008-2009</c:v>
                </c:pt>
                <c:pt idx="2">
                  <c:v>2009-2010</c:v>
                </c:pt>
              </c:strCache>
            </c:strRef>
          </c:cat>
          <c:val>
            <c:numRef>
              <c:f>Sheet1!$B$5:$D$5</c:f>
              <c:numCache>
                <c:formatCode>General</c:formatCode>
                <c:ptCount val="3"/>
                <c:pt idx="0">
                  <c:v>69.400000000000006</c:v>
                </c:pt>
                <c:pt idx="1">
                  <c:v>74.900000000000006</c:v>
                </c:pt>
                <c:pt idx="2">
                  <c:v>72.400000000000006</c:v>
                </c:pt>
              </c:numCache>
            </c:numRef>
          </c:val>
        </c:ser>
        <c:marker val="1"/>
        <c:axId val="158610176"/>
        <c:axId val="158612096"/>
      </c:lineChart>
      <c:catAx>
        <c:axId val="158610176"/>
        <c:scaling>
          <c:orientation val="minMax"/>
        </c:scaling>
        <c:axPos val="b"/>
        <c:title>
          <c:tx>
            <c:rich>
              <a:bodyPr/>
              <a:lstStyle/>
              <a:p>
                <a:pPr>
                  <a:defRPr/>
                </a:pPr>
                <a:r>
                  <a:rPr lang="en-GB"/>
                  <a:t>Academic</a:t>
                </a:r>
                <a:r>
                  <a:rPr lang="en-GB" baseline="0"/>
                  <a:t> Year</a:t>
                </a:r>
                <a:endParaRPr lang="en-GB"/>
              </a:p>
            </c:rich>
          </c:tx>
        </c:title>
        <c:tickLblPos val="nextTo"/>
        <c:crossAx val="158612096"/>
        <c:crosses val="autoZero"/>
        <c:auto val="1"/>
        <c:lblAlgn val="ctr"/>
        <c:lblOffset val="100"/>
      </c:catAx>
      <c:valAx>
        <c:axId val="158612096"/>
        <c:scaling>
          <c:orientation val="minMax"/>
        </c:scaling>
        <c:axPos val="l"/>
        <c:majorGridlines/>
        <c:title>
          <c:tx>
            <c:rich>
              <a:bodyPr rot="-5400000" vert="horz"/>
              <a:lstStyle/>
              <a:p>
                <a:pPr>
                  <a:defRPr/>
                </a:pPr>
                <a:r>
                  <a:rPr lang="en-GB" baseline="0"/>
                  <a:t> Success  %</a:t>
                </a:r>
                <a:endParaRPr lang="en-GB"/>
              </a:p>
            </c:rich>
          </c:tx>
        </c:title>
        <c:numFmt formatCode="General" sourceLinked="1"/>
        <c:tickLblPos val="nextTo"/>
        <c:crossAx val="158610176"/>
        <c:crosses val="autoZero"/>
        <c:crossBetween val="between"/>
      </c:valAx>
    </c:plotArea>
    <c:legend>
      <c:legendPos val="r"/>
    </c:legend>
    <c:plotVisOnly val="1"/>
    <c:dispBlanksAs val="gap"/>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US"/>
              <a:t>Percentage of Learners with Disability and/or Learning Difficulties </a:t>
            </a:r>
          </a:p>
        </c:rich>
      </c:tx>
    </c:title>
    <c:view3D>
      <c:rAngAx val="1"/>
    </c:view3D>
    <c:plotArea>
      <c:layout/>
      <c:bar3DChart>
        <c:barDir val="col"/>
        <c:grouping val="clustered"/>
        <c:ser>
          <c:idx val="0"/>
          <c:order val="0"/>
          <c:tx>
            <c:strRef>
              <c:f>'[2007-2008 distribution.xlsx]Sheet1'!$B$1</c:f>
              <c:strCache>
                <c:ptCount val="1"/>
                <c:pt idx="0">
                  <c:v>Percentage</c:v>
                </c:pt>
              </c:strCache>
            </c:strRef>
          </c:tx>
          <c:cat>
            <c:strRef>
              <c:f>'[2007-2008 distribution.xlsx]Sheet1'!$A$2:$A$18</c:f>
              <c:strCache>
                <c:ptCount val="17"/>
                <c:pt idx="0">
                  <c:v>ACE</c:v>
                </c:pt>
                <c:pt idx="1">
                  <c:v>AE</c:v>
                </c:pt>
                <c:pt idx="2">
                  <c:v>CBE</c:v>
                </c:pt>
                <c:pt idx="3">
                  <c:v>BTH</c:v>
                </c:pt>
                <c:pt idx="4">
                  <c:v>CIT</c:v>
                </c:pt>
                <c:pt idx="5">
                  <c:v>CVP</c:v>
                </c:pt>
                <c:pt idx="6">
                  <c:v>ENG</c:v>
                </c:pt>
                <c:pt idx="7">
                  <c:v>HAT</c:v>
                </c:pt>
                <c:pt idx="8">
                  <c:v>HSC</c:v>
                </c:pt>
                <c:pt idx="9">
                  <c:v>PWT</c:v>
                </c:pt>
                <c:pt idx="10">
                  <c:v>IBC</c:v>
                </c:pt>
                <c:pt idx="11">
                  <c:v>IES</c:v>
                </c:pt>
                <c:pt idx="12">
                  <c:v>MAS</c:v>
                </c:pt>
                <c:pt idx="13">
                  <c:v>PVS</c:v>
                </c:pt>
                <c:pt idx="14">
                  <c:v>SPS</c:v>
                </c:pt>
                <c:pt idx="15">
                  <c:v>SSL</c:v>
                </c:pt>
                <c:pt idx="16">
                  <c:v>UFI</c:v>
                </c:pt>
              </c:strCache>
            </c:strRef>
          </c:cat>
          <c:val>
            <c:numRef>
              <c:f>'[2007-2008 distribution.xlsx]Sheet1'!$B$2:$B$18</c:f>
              <c:numCache>
                <c:formatCode>General</c:formatCode>
                <c:ptCount val="17"/>
                <c:pt idx="0">
                  <c:v>2</c:v>
                </c:pt>
                <c:pt idx="1">
                  <c:v>9.2000000000000011</c:v>
                </c:pt>
                <c:pt idx="2">
                  <c:v>1.3</c:v>
                </c:pt>
                <c:pt idx="3">
                  <c:v>1.2</c:v>
                </c:pt>
                <c:pt idx="4">
                  <c:v>5.6</c:v>
                </c:pt>
                <c:pt idx="5">
                  <c:v>0.9</c:v>
                </c:pt>
                <c:pt idx="6">
                  <c:v>0.5</c:v>
                </c:pt>
                <c:pt idx="7">
                  <c:v>2.9</c:v>
                </c:pt>
                <c:pt idx="8">
                  <c:v>1.6</c:v>
                </c:pt>
                <c:pt idx="9">
                  <c:v>0</c:v>
                </c:pt>
                <c:pt idx="10">
                  <c:v>0.1</c:v>
                </c:pt>
                <c:pt idx="11">
                  <c:v>2.1</c:v>
                </c:pt>
                <c:pt idx="12">
                  <c:v>0.30000000000000016</c:v>
                </c:pt>
                <c:pt idx="13">
                  <c:v>9.5</c:v>
                </c:pt>
                <c:pt idx="14">
                  <c:v>0.1</c:v>
                </c:pt>
                <c:pt idx="15">
                  <c:v>0.5</c:v>
                </c:pt>
                <c:pt idx="16">
                  <c:v>0</c:v>
                </c:pt>
              </c:numCache>
            </c:numRef>
          </c:val>
        </c:ser>
        <c:shape val="box"/>
        <c:axId val="158632960"/>
        <c:axId val="158659712"/>
        <c:axId val="0"/>
      </c:bar3DChart>
      <c:catAx>
        <c:axId val="158632960"/>
        <c:scaling>
          <c:orientation val="minMax"/>
        </c:scaling>
        <c:axPos val="b"/>
        <c:title>
          <c:tx>
            <c:rich>
              <a:bodyPr/>
              <a:lstStyle/>
              <a:p>
                <a:pPr>
                  <a:defRPr/>
                </a:pPr>
                <a:r>
                  <a:rPr lang="en-GB"/>
                  <a:t>School</a:t>
                </a:r>
                <a:r>
                  <a:rPr lang="en-GB" baseline="0"/>
                  <a:t> </a:t>
                </a:r>
                <a:endParaRPr lang="en-GB"/>
              </a:p>
            </c:rich>
          </c:tx>
        </c:title>
        <c:tickLblPos val="nextTo"/>
        <c:crossAx val="158659712"/>
        <c:crosses val="autoZero"/>
        <c:auto val="1"/>
        <c:lblAlgn val="ctr"/>
        <c:lblOffset val="100"/>
      </c:catAx>
      <c:valAx>
        <c:axId val="158659712"/>
        <c:scaling>
          <c:orientation val="minMax"/>
        </c:scaling>
        <c:axPos val="l"/>
        <c:majorGridlines/>
        <c:title>
          <c:tx>
            <c:rich>
              <a:bodyPr rot="-5400000" vert="horz"/>
              <a:lstStyle/>
              <a:p>
                <a:pPr>
                  <a:defRPr/>
                </a:pPr>
                <a:r>
                  <a:rPr lang="en-GB"/>
                  <a:t>Percentage</a:t>
                </a:r>
                <a:r>
                  <a:rPr lang="en-GB" baseline="0"/>
                  <a:t> % </a:t>
                </a:r>
                <a:endParaRPr lang="en-GB"/>
              </a:p>
            </c:rich>
          </c:tx>
        </c:title>
        <c:numFmt formatCode="General" sourceLinked="1"/>
        <c:tickLblPos val="nextTo"/>
        <c:crossAx val="158632960"/>
        <c:crosses val="autoZero"/>
        <c:crossBetween val="between"/>
      </c:valAx>
    </c:plotArea>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Disability</a:t>
            </a:r>
            <a:r>
              <a:rPr lang="en-GB" baseline="0"/>
              <a:t> Analysis for Males       </a:t>
            </a:r>
          </a:p>
          <a:p>
            <a:pPr>
              <a:defRPr/>
            </a:pPr>
            <a:r>
              <a:rPr lang="en-GB" baseline="0"/>
              <a:t> 2007-2008</a:t>
            </a:r>
            <a:endParaRPr lang="en-GB"/>
          </a:p>
        </c:rich>
      </c:tx>
    </c:title>
    <c:view3D>
      <c:rAngAx val="1"/>
    </c:view3D>
    <c:plotArea>
      <c:layout/>
      <c:bar3DChart>
        <c:barDir val="col"/>
        <c:grouping val="clustered"/>
        <c:ser>
          <c:idx val="0"/>
          <c:order val="0"/>
          <c:tx>
            <c:strRef>
              <c:f>Sheet1!$B$3</c:f>
              <c:strCache>
                <c:ptCount val="1"/>
                <c:pt idx="0">
                  <c:v>With disability and/or learning difficulty</c:v>
                </c:pt>
              </c:strCache>
            </c:strRef>
          </c:tx>
          <c:cat>
            <c:strRef>
              <c:f>Sheet1!$A$4:$A$6</c:f>
              <c:strCache>
                <c:ptCount val="3"/>
                <c:pt idx="0">
                  <c:v>Retention</c:v>
                </c:pt>
                <c:pt idx="1">
                  <c:v>Attainment</c:v>
                </c:pt>
                <c:pt idx="2">
                  <c:v>Success</c:v>
                </c:pt>
              </c:strCache>
            </c:strRef>
          </c:cat>
          <c:val>
            <c:numRef>
              <c:f>Sheet1!$B$4:$B$6</c:f>
              <c:numCache>
                <c:formatCode>General</c:formatCode>
                <c:ptCount val="3"/>
                <c:pt idx="0">
                  <c:v>97.9</c:v>
                </c:pt>
                <c:pt idx="1">
                  <c:v>71.900000000000006</c:v>
                </c:pt>
                <c:pt idx="2">
                  <c:v>70.400000000000006</c:v>
                </c:pt>
              </c:numCache>
            </c:numRef>
          </c:val>
        </c:ser>
        <c:ser>
          <c:idx val="1"/>
          <c:order val="1"/>
          <c:tx>
            <c:strRef>
              <c:f>Sheet1!$C$3</c:f>
              <c:strCache>
                <c:ptCount val="1"/>
                <c:pt idx="0">
                  <c:v>Without disability and/or learning difficulty</c:v>
                </c:pt>
              </c:strCache>
            </c:strRef>
          </c:tx>
          <c:cat>
            <c:strRef>
              <c:f>Sheet1!$A$4:$A$6</c:f>
              <c:strCache>
                <c:ptCount val="3"/>
                <c:pt idx="0">
                  <c:v>Retention</c:v>
                </c:pt>
                <c:pt idx="1">
                  <c:v>Attainment</c:v>
                </c:pt>
                <c:pt idx="2">
                  <c:v>Success</c:v>
                </c:pt>
              </c:strCache>
            </c:strRef>
          </c:cat>
          <c:val>
            <c:numRef>
              <c:f>Sheet1!$C$4:$C$6</c:f>
              <c:numCache>
                <c:formatCode>General</c:formatCode>
                <c:ptCount val="3"/>
                <c:pt idx="0">
                  <c:v>97.9</c:v>
                </c:pt>
                <c:pt idx="1">
                  <c:v>67.3</c:v>
                </c:pt>
                <c:pt idx="2">
                  <c:v>65.900000000000006</c:v>
                </c:pt>
              </c:numCache>
            </c:numRef>
          </c:val>
        </c:ser>
        <c:shape val="box"/>
        <c:axId val="159147904"/>
        <c:axId val="159149440"/>
        <c:axId val="0"/>
      </c:bar3DChart>
      <c:catAx>
        <c:axId val="159147904"/>
        <c:scaling>
          <c:orientation val="minMax"/>
        </c:scaling>
        <c:axPos val="b"/>
        <c:tickLblPos val="nextTo"/>
        <c:crossAx val="159149440"/>
        <c:crosses val="autoZero"/>
        <c:auto val="1"/>
        <c:lblAlgn val="ctr"/>
        <c:lblOffset val="100"/>
      </c:catAx>
      <c:valAx>
        <c:axId val="159149440"/>
        <c:scaling>
          <c:orientation val="minMax"/>
        </c:scaling>
        <c:axPos val="l"/>
        <c:majorGridlines/>
        <c:title>
          <c:tx>
            <c:rich>
              <a:bodyPr rot="-5400000" vert="horz"/>
              <a:lstStyle/>
              <a:p>
                <a:pPr>
                  <a:defRPr/>
                </a:pPr>
                <a:r>
                  <a:rPr lang="en-GB"/>
                  <a:t>Percentage</a:t>
                </a:r>
                <a:r>
                  <a:rPr lang="en-GB" baseline="0"/>
                  <a:t> % </a:t>
                </a:r>
                <a:endParaRPr lang="en-GB"/>
              </a:p>
            </c:rich>
          </c:tx>
        </c:title>
        <c:numFmt formatCode="General" sourceLinked="1"/>
        <c:tickLblPos val="nextTo"/>
        <c:crossAx val="159147904"/>
        <c:crosses val="autoZero"/>
        <c:crossBetween val="between"/>
      </c:valAx>
    </c:plotArea>
    <c:legend>
      <c:legendPos val="r"/>
    </c:legend>
    <c:plotVisOnly val="1"/>
    <c:dispBlanksAs val="gap"/>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Disability</a:t>
            </a:r>
            <a:r>
              <a:rPr lang="en-GB" baseline="0"/>
              <a:t> Analysis for Females   </a:t>
            </a:r>
          </a:p>
          <a:p>
            <a:pPr>
              <a:defRPr/>
            </a:pPr>
            <a:r>
              <a:rPr lang="en-GB" baseline="0"/>
              <a:t> 2007-2008</a:t>
            </a:r>
            <a:endParaRPr lang="en-GB"/>
          </a:p>
        </c:rich>
      </c:tx>
    </c:title>
    <c:view3D>
      <c:rAngAx val="1"/>
    </c:view3D>
    <c:plotArea>
      <c:layout/>
      <c:bar3DChart>
        <c:barDir val="col"/>
        <c:grouping val="clustered"/>
        <c:ser>
          <c:idx val="0"/>
          <c:order val="0"/>
          <c:tx>
            <c:strRef>
              <c:f>Sheet1!$B$3</c:f>
              <c:strCache>
                <c:ptCount val="1"/>
                <c:pt idx="0">
                  <c:v>With disability and/or learning difficulty</c:v>
                </c:pt>
              </c:strCache>
            </c:strRef>
          </c:tx>
          <c:cat>
            <c:strRef>
              <c:f>Sheet1!$A$4:$A$6</c:f>
              <c:strCache>
                <c:ptCount val="3"/>
                <c:pt idx="0">
                  <c:v>Retention</c:v>
                </c:pt>
                <c:pt idx="1">
                  <c:v>Attainment</c:v>
                </c:pt>
                <c:pt idx="2">
                  <c:v>Success</c:v>
                </c:pt>
              </c:strCache>
            </c:strRef>
          </c:cat>
          <c:val>
            <c:numRef>
              <c:f>Sheet1!$B$4:$B$6</c:f>
              <c:numCache>
                <c:formatCode>General</c:formatCode>
                <c:ptCount val="3"/>
                <c:pt idx="0">
                  <c:v>97.9</c:v>
                </c:pt>
                <c:pt idx="1">
                  <c:v>71.900000000000006</c:v>
                </c:pt>
                <c:pt idx="2">
                  <c:v>70.400000000000006</c:v>
                </c:pt>
              </c:numCache>
            </c:numRef>
          </c:val>
        </c:ser>
        <c:ser>
          <c:idx val="1"/>
          <c:order val="1"/>
          <c:tx>
            <c:strRef>
              <c:f>Sheet1!$C$3</c:f>
              <c:strCache>
                <c:ptCount val="1"/>
                <c:pt idx="0">
                  <c:v>Without disability and/or learning difficulty</c:v>
                </c:pt>
              </c:strCache>
            </c:strRef>
          </c:tx>
          <c:cat>
            <c:strRef>
              <c:f>Sheet1!$A$4:$A$6</c:f>
              <c:strCache>
                <c:ptCount val="3"/>
                <c:pt idx="0">
                  <c:v>Retention</c:v>
                </c:pt>
                <c:pt idx="1">
                  <c:v>Attainment</c:v>
                </c:pt>
                <c:pt idx="2">
                  <c:v>Success</c:v>
                </c:pt>
              </c:strCache>
            </c:strRef>
          </c:cat>
          <c:val>
            <c:numRef>
              <c:f>Sheet1!$C$4:$C$6</c:f>
              <c:numCache>
                <c:formatCode>General</c:formatCode>
                <c:ptCount val="3"/>
                <c:pt idx="0">
                  <c:v>97.9</c:v>
                </c:pt>
                <c:pt idx="1">
                  <c:v>67.3</c:v>
                </c:pt>
                <c:pt idx="2">
                  <c:v>65.900000000000006</c:v>
                </c:pt>
              </c:numCache>
            </c:numRef>
          </c:val>
        </c:ser>
        <c:shape val="box"/>
        <c:axId val="159171328"/>
        <c:axId val="159172864"/>
        <c:axId val="0"/>
      </c:bar3DChart>
      <c:catAx>
        <c:axId val="159171328"/>
        <c:scaling>
          <c:orientation val="minMax"/>
        </c:scaling>
        <c:axPos val="b"/>
        <c:tickLblPos val="nextTo"/>
        <c:crossAx val="159172864"/>
        <c:crosses val="autoZero"/>
        <c:auto val="1"/>
        <c:lblAlgn val="ctr"/>
        <c:lblOffset val="100"/>
      </c:catAx>
      <c:valAx>
        <c:axId val="159172864"/>
        <c:scaling>
          <c:orientation val="minMax"/>
        </c:scaling>
        <c:axPos val="l"/>
        <c:majorGridlines/>
        <c:title>
          <c:tx>
            <c:rich>
              <a:bodyPr rot="-5400000" vert="horz"/>
              <a:lstStyle/>
              <a:p>
                <a:pPr>
                  <a:defRPr/>
                </a:pPr>
                <a:r>
                  <a:rPr lang="en-GB"/>
                  <a:t>Percentage</a:t>
                </a:r>
                <a:r>
                  <a:rPr lang="en-GB" baseline="0"/>
                  <a:t> % </a:t>
                </a:r>
                <a:endParaRPr lang="en-GB"/>
              </a:p>
            </c:rich>
          </c:tx>
        </c:title>
        <c:numFmt formatCode="General" sourceLinked="1"/>
        <c:tickLblPos val="nextTo"/>
        <c:crossAx val="159171328"/>
        <c:crosses val="autoZero"/>
        <c:crossBetween val="between"/>
      </c:valAx>
    </c:plotArea>
    <c:legend>
      <c:legendPos val="r"/>
    </c:legend>
    <c:plotVisOnly val="1"/>
    <c:dispBlanksAs val="gap"/>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style val="44"/>
  <c:chart>
    <c:title>
      <c:tx>
        <c:rich>
          <a:bodyPr/>
          <a:lstStyle/>
          <a:p>
            <a:pPr>
              <a:defRPr/>
            </a:pPr>
            <a:r>
              <a:rPr lang="en-US"/>
              <a:t>Percentage of Learners with Disability and/or Learning Difficulties </a:t>
            </a:r>
          </a:p>
        </c:rich>
      </c:tx>
    </c:title>
    <c:view3D>
      <c:rAngAx val="1"/>
    </c:view3D>
    <c:plotArea>
      <c:layout/>
      <c:bar3DChart>
        <c:barDir val="col"/>
        <c:grouping val="clustered"/>
        <c:ser>
          <c:idx val="0"/>
          <c:order val="0"/>
          <c:tx>
            <c:strRef>
              <c:f>Sheet1!$B$1</c:f>
              <c:strCache>
                <c:ptCount val="1"/>
                <c:pt idx="0">
                  <c:v>Percentage</c:v>
                </c:pt>
              </c:strCache>
            </c:strRef>
          </c:tx>
          <c:cat>
            <c:strRef>
              <c:f>Sheet1!$A$2:$A$19</c:f>
              <c:strCache>
                <c:ptCount val="18"/>
                <c:pt idx="0">
                  <c:v>ACE</c:v>
                </c:pt>
                <c:pt idx="1">
                  <c:v>AE</c:v>
                </c:pt>
                <c:pt idx="2">
                  <c:v>CBE</c:v>
                </c:pt>
                <c:pt idx="3">
                  <c:v>BTH</c:v>
                </c:pt>
                <c:pt idx="4">
                  <c:v>CIT</c:v>
                </c:pt>
                <c:pt idx="5">
                  <c:v>CVP</c:v>
                </c:pt>
                <c:pt idx="6">
                  <c:v>ENG</c:v>
                </c:pt>
                <c:pt idx="7">
                  <c:v>FAC6FORM</c:v>
                </c:pt>
                <c:pt idx="8">
                  <c:v>HAT</c:v>
                </c:pt>
                <c:pt idx="9">
                  <c:v>HSC</c:v>
                </c:pt>
                <c:pt idx="10">
                  <c:v>PWT</c:v>
                </c:pt>
                <c:pt idx="11">
                  <c:v>IBC</c:v>
                </c:pt>
                <c:pt idx="12">
                  <c:v>IES</c:v>
                </c:pt>
                <c:pt idx="13">
                  <c:v>MAS</c:v>
                </c:pt>
                <c:pt idx="14">
                  <c:v>PVS</c:v>
                </c:pt>
                <c:pt idx="15">
                  <c:v>SPS</c:v>
                </c:pt>
                <c:pt idx="16">
                  <c:v>SSL</c:v>
                </c:pt>
                <c:pt idx="17">
                  <c:v>UFI</c:v>
                </c:pt>
              </c:strCache>
            </c:strRef>
          </c:cat>
          <c:val>
            <c:numRef>
              <c:f>Sheet1!$B$2:$B$19</c:f>
              <c:numCache>
                <c:formatCode>General</c:formatCode>
                <c:ptCount val="18"/>
                <c:pt idx="0">
                  <c:v>8.7000000000000011</c:v>
                </c:pt>
                <c:pt idx="1">
                  <c:v>7.3</c:v>
                </c:pt>
                <c:pt idx="2">
                  <c:v>1.4</c:v>
                </c:pt>
                <c:pt idx="3">
                  <c:v>5</c:v>
                </c:pt>
                <c:pt idx="4">
                  <c:v>8.6</c:v>
                </c:pt>
                <c:pt idx="5">
                  <c:v>6.4</c:v>
                </c:pt>
                <c:pt idx="6">
                  <c:v>2.4</c:v>
                </c:pt>
                <c:pt idx="7">
                  <c:v>1.5</c:v>
                </c:pt>
                <c:pt idx="8">
                  <c:v>2</c:v>
                </c:pt>
                <c:pt idx="9">
                  <c:v>15.7</c:v>
                </c:pt>
                <c:pt idx="10">
                  <c:v>8.5</c:v>
                </c:pt>
                <c:pt idx="11">
                  <c:v>1.5</c:v>
                </c:pt>
                <c:pt idx="12">
                  <c:v>1.8</c:v>
                </c:pt>
                <c:pt idx="13">
                  <c:v>6.4</c:v>
                </c:pt>
                <c:pt idx="14">
                  <c:v>78.5</c:v>
                </c:pt>
                <c:pt idx="15">
                  <c:v>4</c:v>
                </c:pt>
                <c:pt idx="16">
                  <c:v>3</c:v>
                </c:pt>
                <c:pt idx="17">
                  <c:v>7.9</c:v>
                </c:pt>
              </c:numCache>
            </c:numRef>
          </c:val>
        </c:ser>
        <c:shape val="box"/>
        <c:axId val="159464064"/>
        <c:axId val="159499008"/>
        <c:axId val="0"/>
      </c:bar3DChart>
      <c:catAx>
        <c:axId val="159464064"/>
        <c:scaling>
          <c:orientation val="minMax"/>
        </c:scaling>
        <c:axPos val="b"/>
        <c:title>
          <c:tx>
            <c:rich>
              <a:bodyPr/>
              <a:lstStyle/>
              <a:p>
                <a:pPr>
                  <a:defRPr/>
                </a:pPr>
                <a:r>
                  <a:rPr lang="en-GB"/>
                  <a:t>School</a:t>
                </a:r>
                <a:r>
                  <a:rPr lang="en-GB" baseline="0"/>
                  <a:t> </a:t>
                </a:r>
                <a:endParaRPr lang="en-GB"/>
              </a:p>
            </c:rich>
          </c:tx>
        </c:title>
        <c:tickLblPos val="nextTo"/>
        <c:crossAx val="159499008"/>
        <c:crosses val="autoZero"/>
        <c:auto val="1"/>
        <c:lblAlgn val="ctr"/>
        <c:lblOffset val="100"/>
      </c:catAx>
      <c:valAx>
        <c:axId val="159499008"/>
        <c:scaling>
          <c:orientation val="minMax"/>
        </c:scaling>
        <c:axPos val="l"/>
        <c:majorGridlines/>
        <c:title>
          <c:tx>
            <c:rich>
              <a:bodyPr rot="-5400000" vert="horz"/>
              <a:lstStyle/>
              <a:p>
                <a:pPr>
                  <a:defRPr/>
                </a:pPr>
                <a:r>
                  <a:rPr lang="en-GB"/>
                  <a:t>Percentage</a:t>
                </a:r>
                <a:r>
                  <a:rPr lang="en-GB" baseline="0"/>
                  <a:t> % </a:t>
                </a:r>
                <a:endParaRPr lang="en-GB"/>
              </a:p>
            </c:rich>
          </c:tx>
        </c:title>
        <c:numFmt formatCode="General" sourceLinked="1"/>
        <c:tickLblPos val="nextTo"/>
        <c:crossAx val="159464064"/>
        <c:crosses val="autoZero"/>
        <c:crossBetween val="between"/>
      </c:valAx>
    </c:plotArea>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Disability</a:t>
            </a:r>
            <a:r>
              <a:rPr lang="en-GB" baseline="0"/>
              <a:t> Analysis for Males  </a:t>
            </a:r>
          </a:p>
          <a:p>
            <a:pPr>
              <a:defRPr/>
            </a:pPr>
            <a:r>
              <a:rPr lang="en-GB" baseline="0"/>
              <a:t>2008-2009</a:t>
            </a:r>
            <a:endParaRPr lang="en-GB"/>
          </a:p>
        </c:rich>
      </c:tx>
    </c:title>
    <c:view3D>
      <c:rAngAx val="1"/>
    </c:view3D>
    <c:plotArea>
      <c:layout/>
      <c:bar3DChart>
        <c:barDir val="col"/>
        <c:grouping val="clustered"/>
        <c:ser>
          <c:idx val="0"/>
          <c:order val="0"/>
          <c:tx>
            <c:strRef>
              <c:f>Sheet1!$B$3</c:f>
              <c:strCache>
                <c:ptCount val="1"/>
                <c:pt idx="0">
                  <c:v>With disability and/or learning difficulty</c:v>
                </c:pt>
              </c:strCache>
            </c:strRef>
          </c:tx>
          <c:cat>
            <c:strRef>
              <c:f>Sheet1!$A$4:$A$6</c:f>
              <c:strCache>
                <c:ptCount val="3"/>
                <c:pt idx="0">
                  <c:v>Retention</c:v>
                </c:pt>
                <c:pt idx="1">
                  <c:v>Attainment</c:v>
                </c:pt>
                <c:pt idx="2">
                  <c:v>Success</c:v>
                </c:pt>
              </c:strCache>
            </c:strRef>
          </c:cat>
          <c:val>
            <c:numRef>
              <c:f>Sheet1!$B$4:$B$6</c:f>
              <c:numCache>
                <c:formatCode>General</c:formatCode>
                <c:ptCount val="3"/>
                <c:pt idx="0">
                  <c:v>98.7</c:v>
                </c:pt>
                <c:pt idx="1">
                  <c:v>77.8</c:v>
                </c:pt>
                <c:pt idx="2">
                  <c:v>76.8</c:v>
                </c:pt>
              </c:numCache>
            </c:numRef>
          </c:val>
        </c:ser>
        <c:ser>
          <c:idx val="1"/>
          <c:order val="1"/>
          <c:tx>
            <c:strRef>
              <c:f>Sheet1!$C$3</c:f>
              <c:strCache>
                <c:ptCount val="1"/>
                <c:pt idx="0">
                  <c:v>Without disability and/or learning difficulty</c:v>
                </c:pt>
              </c:strCache>
            </c:strRef>
          </c:tx>
          <c:cat>
            <c:strRef>
              <c:f>Sheet1!$A$4:$A$6</c:f>
              <c:strCache>
                <c:ptCount val="3"/>
                <c:pt idx="0">
                  <c:v>Retention</c:v>
                </c:pt>
                <c:pt idx="1">
                  <c:v>Attainment</c:v>
                </c:pt>
                <c:pt idx="2">
                  <c:v>Success</c:v>
                </c:pt>
              </c:strCache>
            </c:strRef>
          </c:cat>
          <c:val>
            <c:numRef>
              <c:f>Sheet1!$C$4:$C$6</c:f>
              <c:numCache>
                <c:formatCode>General</c:formatCode>
                <c:ptCount val="3"/>
                <c:pt idx="0">
                  <c:v>98.7</c:v>
                </c:pt>
                <c:pt idx="1">
                  <c:v>75.8</c:v>
                </c:pt>
                <c:pt idx="2">
                  <c:v>74.8</c:v>
                </c:pt>
              </c:numCache>
            </c:numRef>
          </c:val>
        </c:ser>
        <c:shape val="box"/>
        <c:axId val="159512448"/>
        <c:axId val="159513984"/>
        <c:axId val="0"/>
      </c:bar3DChart>
      <c:catAx>
        <c:axId val="159512448"/>
        <c:scaling>
          <c:orientation val="minMax"/>
        </c:scaling>
        <c:axPos val="b"/>
        <c:tickLblPos val="nextTo"/>
        <c:crossAx val="159513984"/>
        <c:crosses val="autoZero"/>
        <c:auto val="1"/>
        <c:lblAlgn val="ctr"/>
        <c:lblOffset val="100"/>
      </c:catAx>
      <c:valAx>
        <c:axId val="159513984"/>
        <c:scaling>
          <c:orientation val="minMax"/>
        </c:scaling>
        <c:axPos val="l"/>
        <c:majorGridlines/>
        <c:title>
          <c:tx>
            <c:rich>
              <a:bodyPr rot="-5400000" vert="horz"/>
              <a:lstStyle/>
              <a:p>
                <a:pPr>
                  <a:defRPr/>
                </a:pPr>
                <a:r>
                  <a:rPr lang="en-GB"/>
                  <a:t>Percentage</a:t>
                </a:r>
                <a:r>
                  <a:rPr lang="en-GB" baseline="0"/>
                  <a:t> % </a:t>
                </a:r>
                <a:endParaRPr lang="en-GB"/>
              </a:p>
            </c:rich>
          </c:tx>
        </c:title>
        <c:numFmt formatCode="General" sourceLinked="1"/>
        <c:tickLblPos val="nextTo"/>
        <c:crossAx val="159512448"/>
        <c:crosses val="autoZero"/>
        <c:crossBetween val="between"/>
      </c:valAx>
    </c:plotArea>
    <c:legend>
      <c:legendPos val="r"/>
    </c:legend>
    <c:plotVisOnly val="1"/>
    <c:dispBlanksAs val="gap"/>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Disability</a:t>
            </a:r>
            <a:r>
              <a:rPr lang="en-GB" baseline="0"/>
              <a:t> Analysis for Females</a:t>
            </a:r>
          </a:p>
          <a:p>
            <a:pPr>
              <a:defRPr/>
            </a:pPr>
            <a:r>
              <a:rPr lang="en-GB" baseline="0"/>
              <a:t>2008-2009</a:t>
            </a:r>
            <a:endParaRPr lang="en-GB"/>
          </a:p>
        </c:rich>
      </c:tx>
    </c:title>
    <c:view3D>
      <c:rAngAx val="1"/>
    </c:view3D>
    <c:plotArea>
      <c:layout/>
      <c:bar3DChart>
        <c:barDir val="col"/>
        <c:grouping val="clustered"/>
        <c:ser>
          <c:idx val="0"/>
          <c:order val="0"/>
          <c:tx>
            <c:strRef>
              <c:f>Sheet1!$A$2</c:f>
              <c:strCache>
                <c:ptCount val="1"/>
                <c:pt idx="0">
                  <c:v>With learning difficulties/disabilities</c:v>
                </c:pt>
              </c:strCache>
            </c:strRef>
          </c:tx>
          <c:cat>
            <c:strRef>
              <c:f>Sheet1!$B$1:$D$1</c:f>
              <c:strCache>
                <c:ptCount val="3"/>
                <c:pt idx="0">
                  <c:v>Retention</c:v>
                </c:pt>
                <c:pt idx="1">
                  <c:v>Attainment</c:v>
                </c:pt>
                <c:pt idx="2">
                  <c:v>Success</c:v>
                </c:pt>
              </c:strCache>
            </c:strRef>
          </c:cat>
          <c:val>
            <c:numRef>
              <c:f>Sheet1!$B$2:$D$2</c:f>
              <c:numCache>
                <c:formatCode>General</c:formatCode>
                <c:ptCount val="3"/>
                <c:pt idx="0">
                  <c:v>94</c:v>
                </c:pt>
                <c:pt idx="1">
                  <c:v>86.7</c:v>
                </c:pt>
                <c:pt idx="2">
                  <c:v>81.400000000000006</c:v>
                </c:pt>
              </c:numCache>
            </c:numRef>
          </c:val>
        </c:ser>
        <c:ser>
          <c:idx val="1"/>
          <c:order val="1"/>
          <c:tx>
            <c:strRef>
              <c:f>Sheet1!$A$3</c:f>
              <c:strCache>
                <c:ptCount val="1"/>
                <c:pt idx="0">
                  <c:v>Without learning difficulties/disabilities</c:v>
                </c:pt>
              </c:strCache>
            </c:strRef>
          </c:tx>
          <c:cat>
            <c:strRef>
              <c:f>Sheet1!$B$1:$D$1</c:f>
              <c:strCache>
                <c:ptCount val="3"/>
                <c:pt idx="0">
                  <c:v>Retention</c:v>
                </c:pt>
                <c:pt idx="1">
                  <c:v>Attainment</c:v>
                </c:pt>
                <c:pt idx="2">
                  <c:v>Success</c:v>
                </c:pt>
              </c:strCache>
            </c:strRef>
          </c:cat>
          <c:val>
            <c:numRef>
              <c:f>Sheet1!$B$3:$D$3</c:f>
              <c:numCache>
                <c:formatCode>General</c:formatCode>
                <c:ptCount val="3"/>
                <c:pt idx="0">
                  <c:v>90.3</c:v>
                </c:pt>
                <c:pt idx="1">
                  <c:v>81.2</c:v>
                </c:pt>
                <c:pt idx="2">
                  <c:v>73.3</c:v>
                </c:pt>
              </c:numCache>
            </c:numRef>
          </c:val>
        </c:ser>
        <c:shape val="box"/>
        <c:axId val="170058496"/>
        <c:axId val="170060032"/>
        <c:axId val="0"/>
      </c:bar3DChart>
      <c:catAx>
        <c:axId val="170058496"/>
        <c:scaling>
          <c:orientation val="minMax"/>
        </c:scaling>
        <c:axPos val="b"/>
        <c:tickLblPos val="nextTo"/>
        <c:crossAx val="170060032"/>
        <c:crosses val="autoZero"/>
        <c:auto val="1"/>
        <c:lblAlgn val="ctr"/>
        <c:lblOffset val="100"/>
      </c:catAx>
      <c:valAx>
        <c:axId val="170060032"/>
        <c:scaling>
          <c:orientation val="minMax"/>
        </c:scaling>
        <c:axPos val="l"/>
        <c:majorGridlines/>
        <c:title>
          <c:tx>
            <c:rich>
              <a:bodyPr rot="-5400000" vert="horz"/>
              <a:lstStyle/>
              <a:p>
                <a:pPr>
                  <a:defRPr/>
                </a:pPr>
                <a:r>
                  <a:rPr lang="en-GB"/>
                  <a:t>Percentage </a:t>
                </a:r>
                <a:r>
                  <a:rPr lang="en-GB" baseline="0"/>
                  <a:t> % </a:t>
                </a:r>
                <a:endParaRPr lang="en-GB"/>
              </a:p>
            </c:rich>
          </c:tx>
        </c:title>
        <c:numFmt formatCode="General" sourceLinked="1"/>
        <c:tickLblPos val="nextTo"/>
        <c:crossAx val="170058496"/>
        <c:crosses val="autoZero"/>
        <c:crossBetween val="between"/>
      </c:valAx>
    </c:plotArea>
    <c:legend>
      <c:legendPos val="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style val="44"/>
  <c:chart>
    <c:title>
      <c:tx>
        <c:rich>
          <a:bodyPr/>
          <a:lstStyle/>
          <a:p>
            <a:pPr>
              <a:defRPr/>
            </a:pPr>
            <a:r>
              <a:rPr lang="en-US"/>
              <a:t>Percentage of Learners with Disability and/or Learning Difficulties </a:t>
            </a:r>
          </a:p>
        </c:rich>
      </c:tx>
    </c:title>
    <c:view3D>
      <c:rAngAx val="1"/>
    </c:view3D>
    <c:plotArea>
      <c:layout/>
      <c:bar3DChart>
        <c:barDir val="col"/>
        <c:grouping val="clustered"/>
        <c:ser>
          <c:idx val="0"/>
          <c:order val="0"/>
          <c:tx>
            <c:strRef>
              <c:f>Sheet1!$B$1</c:f>
              <c:strCache>
                <c:ptCount val="1"/>
                <c:pt idx="0">
                  <c:v>Percentage</c:v>
                </c:pt>
              </c:strCache>
            </c:strRef>
          </c:tx>
          <c:cat>
            <c:strRef>
              <c:f>Sheet1!$A$2:$A$20</c:f>
              <c:strCache>
                <c:ptCount val="19"/>
                <c:pt idx="0">
                  <c:v>ACE</c:v>
                </c:pt>
                <c:pt idx="1">
                  <c:v>AE</c:v>
                </c:pt>
                <c:pt idx="2">
                  <c:v>BES</c:v>
                </c:pt>
                <c:pt idx="3">
                  <c:v>BTH</c:v>
                </c:pt>
                <c:pt idx="4">
                  <c:v>CBE</c:v>
                </c:pt>
                <c:pt idx="5">
                  <c:v>CIT</c:v>
                </c:pt>
                <c:pt idx="6">
                  <c:v>CVP</c:v>
                </c:pt>
                <c:pt idx="7">
                  <c:v>ENG</c:v>
                </c:pt>
                <c:pt idx="8">
                  <c:v>FAC6FORM</c:v>
                </c:pt>
                <c:pt idx="9">
                  <c:v>HAT</c:v>
                </c:pt>
                <c:pt idx="10">
                  <c:v>HSC</c:v>
                </c:pt>
                <c:pt idx="11">
                  <c:v>PWT</c:v>
                </c:pt>
                <c:pt idx="12">
                  <c:v>IBC</c:v>
                </c:pt>
                <c:pt idx="13">
                  <c:v>IES</c:v>
                </c:pt>
                <c:pt idx="14">
                  <c:v>MAS</c:v>
                </c:pt>
                <c:pt idx="15">
                  <c:v>PVS</c:v>
                </c:pt>
                <c:pt idx="16">
                  <c:v>SPS</c:v>
                </c:pt>
                <c:pt idx="17">
                  <c:v>SSL</c:v>
                </c:pt>
                <c:pt idx="18">
                  <c:v>UFI</c:v>
                </c:pt>
              </c:strCache>
            </c:strRef>
          </c:cat>
          <c:val>
            <c:numRef>
              <c:f>Sheet1!$B$2:$B$20</c:f>
              <c:numCache>
                <c:formatCode>General</c:formatCode>
                <c:ptCount val="19"/>
                <c:pt idx="0">
                  <c:v>0.1</c:v>
                </c:pt>
                <c:pt idx="1">
                  <c:v>0.2</c:v>
                </c:pt>
                <c:pt idx="2">
                  <c:v>1</c:v>
                </c:pt>
                <c:pt idx="3">
                  <c:v>8.3000000000000007</c:v>
                </c:pt>
                <c:pt idx="4">
                  <c:v>8.3000000000000007</c:v>
                </c:pt>
                <c:pt idx="5">
                  <c:v>14.4</c:v>
                </c:pt>
                <c:pt idx="6">
                  <c:v>7</c:v>
                </c:pt>
                <c:pt idx="7">
                  <c:v>6.5</c:v>
                </c:pt>
                <c:pt idx="8">
                  <c:v>1.2</c:v>
                </c:pt>
                <c:pt idx="9">
                  <c:v>7.3</c:v>
                </c:pt>
                <c:pt idx="10">
                  <c:v>6.5</c:v>
                </c:pt>
                <c:pt idx="11">
                  <c:v>0</c:v>
                </c:pt>
                <c:pt idx="12">
                  <c:v>0.2</c:v>
                </c:pt>
                <c:pt idx="13">
                  <c:v>0</c:v>
                </c:pt>
                <c:pt idx="14">
                  <c:v>9.7000000000000011</c:v>
                </c:pt>
                <c:pt idx="15">
                  <c:v>80.2</c:v>
                </c:pt>
                <c:pt idx="16">
                  <c:v>6.6</c:v>
                </c:pt>
                <c:pt idx="17">
                  <c:v>0</c:v>
                </c:pt>
                <c:pt idx="18">
                  <c:v>66</c:v>
                </c:pt>
              </c:numCache>
            </c:numRef>
          </c:val>
        </c:ser>
        <c:shape val="box"/>
        <c:axId val="170080896"/>
        <c:axId val="170091264"/>
        <c:axId val="0"/>
      </c:bar3DChart>
      <c:catAx>
        <c:axId val="170080896"/>
        <c:scaling>
          <c:orientation val="minMax"/>
        </c:scaling>
        <c:axPos val="b"/>
        <c:title>
          <c:tx>
            <c:rich>
              <a:bodyPr/>
              <a:lstStyle/>
              <a:p>
                <a:pPr>
                  <a:defRPr/>
                </a:pPr>
                <a:r>
                  <a:rPr lang="en-GB"/>
                  <a:t>School</a:t>
                </a:r>
                <a:r>
                  <a:rPr lang="en-GB" baseline="0"/>
                  <a:t> </a:t>
                </a:r>
                <a:endParaRPr lang="en-GB"/>
              </a:p>
            </c:rich>
          </c:tx>
        </c:title>
        <c:tickLblPos val="nextTo"/>
        <c:crossAx val="170091264"/>
        <c:crosses val="autoZero"/>
        <c:auto val="1"/>
        <c:lblAlgn val="ctr"/>
        <c:lblOffset val="100"/>
      </c:catAx>
      <c:valAx>
        <c:axId val="170091264"/>
        <c:scaling>
          <c:orientation val="minMax"/>
        </c:scaling>
        <c:axPos val="l"/>
        <c:majorGridlines/>
        <c:title>
          <c:tx>
            <c:rich>
              <a:bodyPr rot="-5400000" vert="horz"/>
              <a:lstStyle/>
              <a:p>
                <a:pPr>
                  <a:defRPr/>
                </a:pPr>
                <a:r>
                  <a:rPr lang="en-GB"/>
                  <a:t>Percentage</a:t>
                </a:r>
                <a:r>
                  <a:rPr lang="en-GB" baseline="0"/>
                  <a:t> % </a:t>
                </a:r>
                <a:endParaRPr lang="en-GB"/>
              </a:p>
            </c:rich>
          </c:tx>
        </c:title>
        <c:numFmt formatCode="General" sourceLinked="1"/>
        <c:tickLblPos val="nextTo"/>
        <c:crossAx val="170080896"/>
        <c:crosses val="autoZero"/>
        <c:crossBetween val="between"/>
      </c:valAx>
    </c:plotArea>
    <c:plotVisOnly val="1"/>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Disability</a:t>
            </a:r>
            <a:r>
              <a:rPr lang="en-GB" baseline="0"/>
              <a:t> Analysis for Males</a:t>
            </a:r>
          </a:p>
          <a:p>
            <a:pPr>
              <a:defRPr/>
            </a:pPr>
            <a:r>
              <a:rPr lang="en-GB" baseline="0"/>
              <a:t>2009-2010</a:t>
            </a:r>
            <a:endParaRPr lang="en-GB"/>
          </a:p>
        </c:rich>
      </c:tx>
    </c:title>
    <c:view3D>
      <c:rAngAx val="1"/>
    </c:view3D>
    <c:plotArea>
      <c:layout/>
      <c:bar3DChart>
        <c:barDir val="col"/>
        <c:grouping val="clustered"/>
        <c:ser>
          <c:idx val="0"/>
          <c:order val="0"/>
          <c:tx>
            <c:strRef>
              <c:f>Sheet1!$A$2</c:f>
              <c:strCache>
                <c:ptCount val="1"/>
                <c:pt idx="0">
                  <c:v>With learning difficulties/disabilities</c:v>
                </c:pt>
              </c:strCache>
            </c:strRef>
          </c:tx>
          <c:cat>
            <c:strRef>
              <c:f>Sheet1!$B$1:$D$1</c:f>
              <c:strCache>
                <c:ptCount val="3"/>
                <c:pt idx="0">
                  <c:v>Retention</c:v>
                </c:pt>
                <c:pt idx="1">
                  <c:v>Attainment</c:v>
                </c:pt>
                <c:pt idx="2">
                  <c:v>Success</c:v>
                </c:pt>
              </c:strCache>
            </c:strRef>
          </c:cat>
          <c:val>
            <c:numRef>
              <c:f>Sheet1!$B$2:$D$2</c:f>
              <c:numCache>
                <c:formatCode>General</c:formatCode>
                <c:ptCount val="3"/>
                <c:pt idx="0">
                  <c:v>94</c:v>
                </c:pt>
                <c:pt idx="1">
                  <c:v>86.7</c:v>
                </c:pt>
                <c:pt idx="2">
                  <c:v>81.400000000000006</c:v>
                </c:pt>
              </c:numCache>
            </c:numRef>
          </c:val>
        </c:ser>
        <c:ser>
          <c:idx val="1"/>
          <c:order val="1"/>
          <c:tx>
            <c:strRef>
              <c:f>Sheet1!$A$3</c:f>
              <c:strCache>
                <c:ptCount val="1"/>
                <c:pt idx="0">
                  <c:v>Without learning difficulties/disabilities</c:v>
                </c:pt>
              </c:strCache>
            </c:strRef>
          </c:tx>
          <c:cat>
            <c:strRef>
              <c:f>Sheet1!$B$1:$D$1</c:f>
              <c:strCache>
                <c:ptCount val="3"/>
                <c:pt idx="0">
                  <c:v>Retention</c:v>
                </c:pt>
                <c:pt idx="1">
                  <c:v>Attainment</c:v>
                </c:pt>
                <c:pt idx="2">
                  <c:v>Success</c:v>
                </c:pt>
              </c:strCache>
            </c:strRef>
          </c:cat>
          <c:val>
            <c:numRef>
              <c:f>Sheet1!$B$3:$D$3</c:f>
              <c:numCache>
                <c:formatCode>General</c:formatCode>
                <c:ptCount val="3"/>
                <c:pt idx="0">
                  <c:v>90.3</c:v>
                </c:pt>
                <c:pt idx="1">
                  <c:v>81.2</c:v>
                </c:pt>
                <c:pt idx="2">
                  <c:v>73.3</c:v>
                </c:pt>
              </c:numCache>
            </c:numRef>
          </c:val>
        </c:ser>
        <c:shape val="box"/>
        <c:axId val="170108416"/>
        <c:axId val="170109952"/>
        <c:axId val="0"/>
      </c:bar3DChart>
      <c:catAx>
        <c:axId val="170108416"/>
        <c:scaling>
          <c:orientation val="minMax"/>
        </c:scaling>
        <c:axPos val="b"/>
        <c:tickLblPos val="nextTo"/>
        <c:crossAx val="170109952"/>
        <c:crosses val="autoZero"/>
        <c:auto val="1"/>
        <c:lblAlgn val="ctr"/>
        <c:lblOffset val="100"/>
      </c:catAx>
      <c:valAx>
        <c:axId val="170109952"/>
        <c:scaling>
          <c:orientation val="minMax"/>
        </c:scaling>
        <c:axPos val="l"/>
        <c:majorGridlines/>
        <c:title>
          <c:tx>
            <c:rich>
              <a:bodyPr rot="-5400000" vert="horz"/>
              <a:lstStyle/>
              <a:p>
                <a:pPr>
                  <a:defRPr/>
                </a:pPr>
                <a:r>
                  <a:rPr lang="en-GB"/>
                  <a:t>Percentage </a:t>
                </a:r>
                <a:r>
                  <a:rPr lang="en-GB" baseline="0"/>
                  <a:t> % </a:t>
                </a:r>
                <a:endParaRPr lang="en-GB"/>
              </a:p>
            </c:rich>
          </c:tx>
        </c:title>
        <c:numFmt formatCode="General" sourceLinked="1"/>
        <c:tickLblPos val="nextTo"/>
        <c:crossAx val="170108416"/>
        <c:crosses val="autoZero"/>
        <c:crossBetween val="between"/>
      </c:valAx>
    </c:plotArea>
    <c:legend>
      <c:legendPos val="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Disability</a:t>
            </a:r>
            <a:r>
              <a:rPr lang="en-GB" baseline="0"/>
              <a:t> Analysis for Females</a:t>
            </a:r>
          </a:p>
          <a:p>
            <a:pPr>
              <a:defRPr/>
            </a:pPr>
            <a:r>
              <a:rPr lang="en-GB" baseline="0"/>
              <a:t>2009-2010</a:t>
            </a:r>
            <a:endParaRPr lang="en-GB"/>
          </a:p>
        </c:rich>
      </c:tx>
    </c:title>
    <c:view3D>
      <c:rAngAx val="1"/>
    </c:view3D>
    <c:plotArea>
      <c:layout/>
      <c:bar3DChart>
        <c:barDir val="col"/>
        <c:grouping val="clustered"/>
        <c:ser>
          <c:idx val="0"/>
          <c:order val="0"/>
          <c:tx>
            <c:strRef>
              <c:f>Sheet1!$A$2</c:f>
              <c:strCache>
                <c:ptCount val="1"/>
                <c:pt idx="0">
                  <c:v>With learning difficulties/disabilities</c:v>
                </c:pt>
              </c:strCache>
            </c:strRef>
          </c:tx>
          <c:cat>
            <c:strRef>
              <c:f>Sheet1!$B$1:$D$1</c:f>
              <c:strCache>
                <c:ptCount val="3"/>
                <c:pt idx="0">
                  <c:v>Retention</c:v>
                </c:pt>
                <c:pt idx="1">
                  <c:v>Attainment</c:v>
                </c:pt>
                <c:pt idx="2">
                  <c:v>Success</c:v>
                </c:pt>
              </c:strCache>
            </c:strRef>
          </c:cat>
          <c:val>
            <c:numRef>
              <c:f>Sheet1!$B$2:$D$2</c:f>
              <c:numCache>
                <c:formatCode>General</c:formatCode>
                <c:ptCount val="3"/>
                <c:pt idx="0">
                  <c:v>94</c:v>
                </c:pt>
                <c:pt idx="1">
                  <c:v>86.7</c:v>
                </c:pt>
                <c:pt idx="2">
                  <c:v>81.400000000000006</c:v>
                </c:pt>
              </c:numCache>
            </c:numRef>
          </c:val>
        </c:ser>
        <c:ser>
          <c:idx val="1"/>
          <c:order val="1"/>
          <c:tx>
            <c:strRef>
              <c:f>Sheet1!$A$3</c:f>
              <c:strCache>
                <c:ptCount val="1"/>
                <c:pt idx="0">
                  <c:v>Without learning difficulties/disabilities</c:v>
                </c:pt>
              </c:strCache>
            </c:strRef>
          </c:tx>
          <c:cat>
            <c:strRef>
              <c:f>Sheet1!$B$1:$D$1</c:f>
              <c:strCache>
                <c:ptCount val="3"/>
                <c:pt idx="0">
                  <c:v>Retention</c:v>
                </c:pt>
                <c:pt idx="1">
                  <c:v>Attainment</c:v>
                </c:pt>
                <c:pt idx="2">
                  <c:v>Success</c:v>
                </c:pt>
              </c:strCache>
            </c:strRef>
          </c:cat>
          <c:val>
            <c:numRef>
              <c:f>Sheet1!$B$3:$D$3</c:f>
              <c:numCache>
                <c:formatCode>General</c:formatCode>
                <c:ptCount val="3"/>
                <c:pt idx="0">
                  <c:v>90.3</c:v>
                </c:pt>
                <c:pt idx="1">
                  <c:v>81.2</c:v>
                </c:pt>
                <c:pt idx="2">
                  <c:v>73.3</c:v>
                </c:pt>
              </c:numCache>
            </c:numRef>
          </c:val>
        </c:ser>
        <c:shape val="box"/>
        <c:axId val="170156416"/>
        <c:axId val="170157952"/>
        <c:axId val="0"/>
      </c:bar3DChart>
      <c:catAx>
        <c:axId val="170156416"/>
        <c:scaling>
          <c:orientation val="minMax"/>
        </c:scaling>
        <c:axPos val="b"/>
        <c:tickLblPos val="nextTo"/>
        <c:crossAx val="170157952"/>
        <c:crosses val="autoZero"/>
        <c:auto val="1"/>
        <c:lblAlgn val="ctr"/>
        <c:lblOffset val="100"/>
      </c:catAx>
      <c:valAx>
        <c:axId val="170157952"/>
        <c:scaling>
          <c:orientation val="minMax"/>
        </c:scaling>
        <c:axPos val="l"/>
        <c:majorGridlines/>
        <c:title>
          <c:tx>
            <c:rich>
              <a:bodyPr rot="-5400000" vert="horz"/>
              <a:lstStyle/>
              <a:p>
                <a:pPr>
                  <a:defRPr/>
                </a:pPr>
                <a:r>
                  <a:rPr lang="en-GB"/>
                  <a:t>Percentage </a:t>
                </a:r>
                <a:r>
                  <a:rPr lang="en-GB" baseline="0"/>
                  <a:t> % </a:t>
                </a:r>
                <a:endParaRPr lang="en-GB"/>
              </a:p>
            </c:rich>
          </c:tx>
        </c:title>
        <c:numFmt formatCode="General" sourceLinked="1"/>
        <c:tickLblPos val="nextTo"/>
        <c:crossAx val="170156416"/>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Gender</a:t>
            </a:r>
            <a:r>
              <a:rPr lang="en-GB" baseline="0"/>
              <a:t> Success by School 2008-2009</a:t>
            </a:r>
            <a:endParaRPr lang="en-GB"/>
          </a:p>
        </c:rich>
      </c:tx>
    </c:title>
    <c:view3D>
      <c:rAngAx val="1"/>
    </c:view3D>
    <c:plotArea>
      <c:layout/>
      <c:bar3DChart>
        <c:barDir val="bar"/>
        <c:grouping val="clustered"/>
        <c:ser>
          <c:idx val="0"/>
          <c:order val="0"/>
          <c:tx>
            <c:strRef>
              <c:f>Sheet1!$B$1</c:f>
              <c:strCache>
                <c:ptCount val="1"/>
                <c:pt idx="0">
                  <c:v>Males</c:v>
                </c:pt>
              </c:strCache>
            </c:strRef>
          </c:tx>
          <c:cat>
            <c:strRef>
              <c:f>Sheet1!$A$2:$A$19</c:f>
              <c:strCache>
                <c:ptCount val="18"/>
                <c:pt idx="0">
                  <c:v>ACE</c:v>
                </c:pt>
                <c:pt idx="1">
                  <c:v>AE</c:v>
                </c:pt>
                <c:pt idx="2">
                  <c:v>CBE</c:v>
                </c:pt>
                <c:pt idx="3">
                  <c:v>BTH</c:v>
                </c:pt>
                <c:pt idx="4">
                  <c:v>CIT</c:v>
                </c:pt>
                <c:pt idx="5">
                  <c:v>CVP</c:v>
                </c:pt>
                <c:pt idx="6">
                  <c:v>ENG</c:v>
                </c:pt>
                <c:pt idx="7">
                  <c:v>FAC6FORM</c:v>
                </c:pt>
                <c:pt idx="8">
                  <c:v>HAT</c:v>
                </c:pt>
                <c:pt idx="9">
                  <c:v>HSC</c:v>
                </c:pt>
                <c:pt idx="10">
                  <c:v>PWT</c:v>
                </c:pt>
                <c:pt idx="11">
                  <c:v>IBC</c:v>
                </c:pt>
                <c:pt idx="12">
                  <c:v>IES</c:v>
                </c:pt>
                <c:pt idx="13">
                  <c:v>MAS</c:v>
                </c:pt>
                <c:pt idx="14">
                  <c:v>PVS</c:v>
                </c:pt>
                <c:pt idx="15">
                  <c:v>SPS</c:v>
                </c:pt>
                <c:pt idx="16">
                  <c:v>SSL</c:v>
                </c:pt>
                <c:pt idx="17">
                  <c:v>UFI</c:v>
                </c:pt>
              </c:strCache>
            </c:strRef>
          </c:cat>
          <c:val>
            <c:numRef>
              <c:f>Sheet1!$B$2:$B$19</c:f>
              <c:numCache>
                <c:formatCode>0.0%</c:formatCode>
                <c:ptCount val="18"/>
                <c:pt idx="0">
                  <c:v>0.78</c:v>
                </c:pt>
                <c:pt idx="1">
                  <c:v>0.73200000000000065</c:v>
                </c:pt>
                <c:pt idx="2">
                  <c:v>0.76900000000000324</c:v>
                </c:pt>
                <c:pt idx="3">
                  <c:v>0.78500000000000003</c:v>
                </c:pt>
                <c:pt idx="4">
                  <c:v>0.56699999999999995</c:v>
                </c:pt>
                <c:pt idx="5">
                  <c:v>0.65200000000000369</c:v>
                </c:pt>
                <c:pt idx="6">
                  <c:v>0.87700000000000322</c:v>
                </c:pt>
                <c:pt idx="7">
                  <c:v>0.74200000000000288</c:v>
                </c:pt>
                <c:pt idx="8">
                  <c:v>0.66300000000000381</c:v>
                </c:pt>
                <c:pt idx="9">
                  <c:v>0.78100000000000003</c:v>
                </c:pt>
                <c:pt idx="10">
                  <c:v>0.91900000000000004</c:v>
                </c:pt>
                <c:pt idx="11">
                  <c:v>0.7790000000000038</c:v>
                </c:pt>
                <c:pt idx="12">
                  <c:v>0.51700000000000002</c:v>
                </c:pt>
                <c:pt idx="13">
                  <c:v>0.49800000000000144</c:v>
                </c:pt>
                <c:pt idx="14">
                  <c:v>0.84400000000000064</c:v>
                </c:pt>
                <c:pt idx="15">
                  <c:v>0.7790000000000038</c:v>
                </c:pt>
                <c:pt idx="16">
                  <c:v>0.625000000000003</c:v>
                </c:pt>
                <c:pt idx="17">
                  <c:v>0.85700000000000065</c:v>
                </c:pt>
              </c:numCache>
            </c:numRef>
          </c:val>
        </c:ser>
        <c:ser>
          <c:idx val="1"/>
          <c:order val="1"/>
          <c:tx>
            <c:strRef>
              <c:f>Sheet1!$C$1</c:f>
              <c:strCache>
                <c:ptCount val="1"/>
                <c:pt idx="0">
                  <c:v>Females</c:v>
                </c:pt>
              </c:strCache>
            </c:strRef>
          </c:tx>
          <c:cat>
            <c:strRef>
              <c:f>Sheet1!$A$2:$A$19</c:f>
              <c:strCache>
                <c:ptCount val="18"/>
                <c:pt idx="0">
                  <c:v>ACE</c:v>
                </c:pt>
                <c:pt idx="1">
                  <c:v>AE</c:v>
                </c:pt>
                <c:pt idx="2">
                  <c:v>CBE</c:v>
                </c:pt>
                <c:pt idx="3">
                  <c:v>BTH</c:v>
                </c:pt>
                <c:pt idx="4">
                  <c:v>CIT</c:v>
                </c:pt>
                <c:pt idx="5">
                  <c:v>CVP</c:v>
                </c:pt>
                <c:pt idx="6">
                  <c:v>ENG</c:v>
                </c:pt>
                <c:pt idx="7">
                  <c:v>FAC6FORM</c:v>
                </c:pt>
                <c:pt idx="8">
                  <c:v>HAT</c:v>
                </c:pt>
                <c:pt idx="9">
                  <c:v>HSC</c:v>
                </c:pt>
                <c:pt idx="10">
                  <c:v>PWT</c:v>
                </c:pt>
                <c:pt idx="11">
                  <c:v>IBC</c:v>
                </c:pt>
                <c:pt idx="12">
                  <c:v>IES</c:v>
                </c:pt>
                <c:pt idx="13">
                  <c:v>MAS</c:v>
                </c:pt>
                <c:pt idx="14">
                  <c:v>PVS</c:v>
                </c:pt>
                <c:pt idx="15">
                  <c:v>SPS</c:v>
                </c:pt>
                <c:pt idx="16">
                  <c:v>SSL</c:v>
                </c:pt>
                <c:pt idx="17">
                  <c:v>UFI</c:v>
                </c:pt>
              </c:strCache>
            </c:strRef>
          </c:cat>
          <c:val>
            <c:numRef>
              <c:f>Sheet1!$C$2:$C$19</c:f>
              <c:numCache>
                <c:formatCode>0.0%</c:formatCode>
                <c:ptCount val="18"/>
                <c:pt idx="0">
                  <c:v>0.73900000000000265</c:v>
                </c:pt>
                <c:pt idx="1">
                  <c:v>0.67100000000000382</c:v>
                </c:pt>
                <c:pt idx="2">
                  <c:v>0.75800000000000323</c:v>
                </c:pt>
                <c:pt idx="3">
                  <c:v>0.79300000000000004</c:v>
                </c:pt>
                <c:pt idx="4">
                  <c:v>0.45900000000000002</c:v>
                </c:pt>
                <c:pt idx="5">
                  <c:v>0.66500000000000381</c:v>
                </c:pt>
                <c:pt idx="6">
                  <c:v>0.86800000000000288</c:v>
                </c:pt>
                <c:pt idx="7">
                  <c:v>0.79</c:v>
                </c:pt>
                <c:pt idx="8">
                  <c:v>0.78600000000000003</c:v>
                </c:pt>
                <c:pt idx="9">
                  <c:v>0.75700000000000323</c:v>
                </c:pt>
                <c:pt idx="10">
                  <c:v>0.60000000000000064</c:v>
                </c:pt>
                <c:pt idx="11">
                  <c:v>0.71200000000000063</c:v>
                </c:pt>
                <c:pt idx="12">
                  <c:v>0.52500000000000002</c:v>
                </c:pt>
                <c:pt idx="13">
                  <c:v>0.63800000000000323</c:v>
                </c:pt>
                <c:pt idx="14">
                  <c:v>0.80500000000000005</c:v>
                </c:pt>
                <c:pt idx="15">
                  <c:v>0.80600000000000005</c:v>
                </c:pt>
                <c:pt idx="16">
                  <c:v>0.84000000000000064</c:v>
                </c:pt>
                <c:pt idx="17">
                  <c:v>0.83900000000000063</c:v>
                </c:pt>
              </c:numCache>
            </c:numRef>
          </c:val>
        </c:ser>
        <c:shape val="box"/>
        <c:axId val="91298816"/>
        <c:axId val="91321472"/>
        <c:axId val="0"/>
      </c:bar3DChart>
      <c:catAx>
        <c:axId val="91298816"/>
        <c:scaling>
          <c:orientation val="minMax"/>
        </c:scaling>
        <c:axPos val="l"/>
        <c:title>
          <c:tx>
            <c:rich>
              <a:bodyPr rot="-5400000" vert="horz"/>
              <a:lstStyle/>
              <a:p>
                <a:pPr>
                  <a:defRPr/>
                </a:pPr>
                <a:r>
                  <a:rPr lang="en-GB"/>
                  <a:t>School</a:t>
                </a:r>
              </a:p>
            </c:rich>
          </c:tx>
        </c:title>
        <c:tickLblPos val="nextTo"/>
        <c:crossAx val="91321472"/>
        <c:crosses val="autoZero"/>
        <c:auto val="1"/>
        <c:lblAlgn val="ctr"/>
        <c:lblOffset val="100"/>
      </c:catAx>
      <c:valAx>
        <c:axId val="91321472"/>
        <c:scaling>
          <c:orientation val="minMax"/>
        </c:scaling>
        <c:axPos val="b"/>
        <c:majorGridlines/>
        <c:title>
          <c:tx>
            <c:rich>
              <a:bodyPr/>
              <a:lstStyle/>
              <a:p>
                <a:pPr>
                  <a:defRPr/>
                </a:pPr>
                <a:r>
                  <a:rPr lang="en-GB"/>
                  <a:t>Success %</a:t>
                </a:r>
              </a:p>
            </c:rich>
          </c:tx>
        </c:title>
        <c:numFmt formatCode="0.0%" sourceLinked="1"/>
        <c:tickLblPos val="nextTo"/>
        <c:crossAx val="91298816"/>
        <c:crosses val="autoZero"/>
        <c:crossBetween val="between"/>
      </c:valAx>
    </c:plotArea>
    <c:legend>
      <c:legendPos val="r"/>
    </c:legend>
    <c:plotVisOnly val="1"/>
    <c:dispBlanksAs val="gap"/>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style val="44"/>
  <c:chart>
    <c:title>
      <c:tx>
        <c:rich>
          <a:bodyPr/>
          <a:lstStyle/>
          <a:p>
            <a:pPr>
              <a:defRPr/>
            </a:pPr>
            <a:r>
              <a:rPr lang="en-GB"/>
              <a:t>Percentage</a:t>
            </a:r>
            <a:r>
              <a:rPr lang="en-GB" baseline="0"/>
              <a:t> of Enrolments from Welsh Speakers</a:t>
            </a:r>
            <a:endParaRPr lang="en-GB"/>
          </a:p>
        </c:rich>
      </c:tx>
    </c:title>
    <c:view3D>
      <c:rAngAx val="1"/>
    </c:view3D>
    <c:plotArea>
      <c:layout/>
      <c:bar3DChart>
        <c:barDir val="col"/>
        <c:grouping val="clustered"/>
        <c:ser>
          <c:idx val="0"/>
          <c:order val="0"/>
          <c:tx>
            <c:strRef>
              <c:f>Sheet1!$A$2</c:f>
              <c:strCache>
                <c:ptCount val="1"/>
                <c:pt idx="0">
                  <c:v>Males</c:v>
                </c:pt>
              </c:strCache>
            </c:strRef>
          </c:tx>
          <c:cat>
            <c:strRef>
              <c:f>Sheet1!$B$1:$D$1</c:f>
              <c:strCache>
                <c:ptCount val="3"/>
                <c:pt idx="0">
                  <c:v>2007-2008</c:v>
                </c:pt>
                <c:pt idx="1">
                  <c:v>2008-2009</c:v>
                </c:pt>
                <c:pt idx="2">
                  <c:v>2009-2010</c:v>
                </c:pt>
              </c:strCache>
            </c:strRef>
          </c:cat>
          <c:val>
            <c:numRef>
              <c:f>Sheet1!$B$2:$D$2</c:f>
              <c:numCache>
                <c:formatCode>0%</c:formatCode>
                <c:ptCount val="3"/>
                <c:pt idx="0">
                  <c:v>0.1</c:v>
                </c:pt>
                <c:pt idx="1">
                  <c:v>0.11700000000000002</c:v>
                </c:pt>
                <c:pt idx="2">
                  <c:v>0.10299999999999998</c:v>
                </c:pt>
              </c:numCache>
            </c:numRef>
          </c:val>
        </c:ser>
        <c:ser>
          <c:idx val="1"/>
          <c:order val="1"/>
          <c:tx>
            <c:strRef>
              <c:f>Sheet1!$A$3</c:f>
              <c:strCache>
                <c:ptCount val="1"/>
                <c:pt idx="0">
                  <c:v>Females</c:v>
                </c:pt>
              </c:strCache>
            </c:strRef>
          </c:tx>
          <c:cat>
            <c:strRef>
              <c:f>Sheet1!$B$1:$D$1</c:f>
              <c:strCache>
                <c:ptCount val="3"/>
                <c:pt idx="0">
                  <c:v>2007-2008</c:v>
                </c:pt>
                <c:pt idx="1">
                  <c:v>2008-2009</c:v>
                </c:pt>
                <c:pt idx="2">
                  <c:v>2009-2010</c:v>
                </c:pt>
              </c:strCache>
            </c:strRef>
          </c:cat>
          <c:val>
            <c:numRef>
              <c:f>Sheet1!$B$3:$D$3</c:f>
              <c:numCache>
                <c:formatCode>0%</c:formatCode>
                <c:ptCount val="3"/>
                <c:pt idx="0">
                  <c:v>0.10900000000000012</c:v>
                </c:pt>
                <c:pt idx="1">
                  <c:v>0.15400000000000041</c:v>
                </c:pt>
                <c:pt idx="2">
                  <c:v>0.15100000000000041</c:v>
                </c:pt>
              </c:numCache>
            </c:numRef>
          </c:val>
        </c:ser>
        <c:ser>
          <c:idx val="2"/>
          <c:order val="2"/>
          <c:tx>
            <c:strRef>
              <c:f>Sheet1!$A$4</c:f>
              <c:strCache>
                <c:ptCount val="1"/>
                <c:pt idx="0">
                  <c:v>Total</c:v>
                </c:pt>
              </c:strCache>
            </c:strRef>
          </c:tx>
          <c:cat>
            <c:strRef>
              <c:f>Sheet1!$B$1:$D$1</c:f>
              <c:strCache>
                <c:ptCount val="3"/>
                <c:pt idx="0">
                  <c:v>2007-2008</c:v>
                </c:pt>
                <c:pt idx="1">
                  <c:v>2008-2009</c:v>
                </c:pt>
                <c:pt idx="2">
                  <c:v>2009-2010</c:v>
                </c:pt>
              </c:strCache>
            </c:strRef>
          </c:cat>
          <c:val>
            <c:numRef>
              <c:f>Sheet1!$B$4:$D$4</c:f>
              <c:numCache>
                <c:formatCode>0%</c:formatCode>
                <c:ptCount val="3"/>
                <c:pt idx="0">
                  <c:v>0.10600000000000002</c:v>
                </c:pt>
                <c:pt idx="1">
                  <c:v>0.13600000000000001</c:v>
                </c:pt>
                <c:pt idx="2">
                  <c:v>0.127</c:v>
                </c:pt>
              </c:numCache>
            </c:numRef>
          </c:val>
        </c:ser>
        <c:shape val="box"/>
        <c:axId val="170721280"/>
        <c:axId val="170722816"/>
        <c:axId val="0"/>
      </c:bar3DChart>
      <c:catAx>
        <c:axId val="170721280"/>
        <c:scaling>
          <c:orientation val="minMax"/>
        </c:scaling>
        <c:axPos val="b"/>
        <c:tickLblPos val="nextTo"/>
        <c:crossAx val="170722816"/>
        <c:crosses val="autoZero"/>
        <c:auto val="1"/>
        <c:lblAlgn val="ctr"/>
        <c:lblOffset val="100"/>
      </c:catAx>
      <c:valAx>
        <c:axId val="170722816"/>
        <c:scaling>
          <c:orientation val="minMax"/>
        </c:scaling>
        <c:axPos val="l"/>
        <c:majorGridlines/>
        <c:numFmt formatCode="0%" sourceLinked="1"/>
        <c:tickLblPos val="nextTo"/>
        <c:crossAx val="170721280"/>
        <c:crosses val="autoZero"/>
        <c:crossBetween val="between"/>
      </c:valAx>
    </c:plotArea>
    <c:legend>
      <c:legendPos val="r"/>
    </c:legend>
    <c:plotVisOnly val="1"/>
    <c:dispBlanksAs val="gap"/>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Analysis</a:t>
            </a:r>
            <a:r>
              <a:rPr lang="en-GB" baseline="0"/>
              <a:t> of Male Welsh Speakers 2007-2008</a:t>
            </a:r>
            <a:endParaRPr lang="en-GB"/>
          </a:p>
        </c:rich>
      </c:tx>
    </c:title>
    <c:view3D>
      <c:rAngAx val="1"/>
    </c:view3D>
    <c:plotArea>
      <c:layout/>
      <c:bar3DChart>
        <c:barDir val="col"/>
        <c:grouping val="clustered"/>
        <c:ser>
          <c:idx val="0"/>
          <c:order val="0"/>
          <c:tx>
            <c:strRef>
              <c:f>Sheet1!$B$2</c:f>
              <c:strCache>
                <c:ptCount val="1"/>
                <c:pt idx="0">
                  <c:v>Welsh Speakers</c:v>
                </c:pt>
              </c:strCache>
            </c:strRef>
          </c:tx>
          <c:cat>
            <c:strRef>
              <c:f>Sheet1!$A$3:$A$5</c:f>
              <c:strCache>
                <c:ptCount val="3"/>
                <c:pt idx="0">
                  <c:v>Retention</c:v>
                </c:pt>
                <c:pt idx="1">
                  <c:v>Attainment</c:v>
                </c:pt>
                <c:pt idx="2">
                  <c:v>Success</c:v>
                </c:pt>
              </c:strCache>
            </c:strRef>
          </c:cat>
          <c:val>
            <c:numRef>
              <c:f>Sheet1!$B$3:$B$5</c:f>
              <c:numCache>
                <c:formatCode>0.0</c:formatCode>
                <c:ptCount val="3"/>
                <c:pt idx="0">
                  <c:v>96.7</c:v>
                </c:pt>
                <c:pt idx="1">
                  <c:v>59.4</c:v>
                </c:pt>
                <c:pt idx="2">
                  <c:v>57.5</c:v>
                </c:pt>
              </c:numCache>
            </c:numRef>
          </c:val>
        </c:ser>
        <c:ser>
          <c:idx val="1"/>
          <c:order val="1"/>
          <c:tx>
            <c:strRef>
              <c:f>Sheet1!$C$2</c:f>
              <c:strCache>
                <c:ptCount val="1"/>
                <c:pt idx="0">
                  <c:v>Non Welsh Speakers</c:v>
                </c:pt>
              </c:strCache>
            </c:strRef>
          </c:tx>
          <c:cat>
            <c:strRef>
              <c:f>Sheet1!$A$3:$A$5</c:f>
              <c:strCache>
                <c:ptCount val="3"/>
                <c:pt idx="0">
                  <c:v>Retention</c:v>
                </c:pt>
                <c:pt idx="1">
                  <c:v>Attainment</c:v>
                </c:pt>
                <c:pt idx="2">
                  <c:v>Success</c:v>
                </c:pt>
              </c:strCache>
            </c:strRef>
          </c:cat>
          <c:val>
            <c:numRef>
              <c:f>Sheet1!$C$3:$C$5</c:f>
              <c:numCache>
                <c:formatCode>0.0</c:formatCode>
                <c:ptCount val="3"/>
                <c:pt idx="0">
                  <c:v>97.5</c:v>
                </c:pt>
                <c:pt idx="1">
                  <c:v>61.4</c:v>
                </c:pt>
                <c:pt idx="2">
                  <c:v>59.8</c:v>
                </c:pt>
              </c:numCache>
            </c:numRef>
          </c:val>
        </c:ser>
        <c:shape val="box"/>
        <c:axId val="170739968"/>
        <c:axId val="170749952"/>
        <c:axId val="0"/>
      </c:bar3DChart>
      <c:catAx>
        <c:axId val="170739968"/>
        <c:scaling>
          <c:orientation val="minMax"/>
        </c:scaling>
        <c:axPos val="b"/>
        <c:tickLblPos val="nextTo"/>
        <c:crossAx val="170749952"/>
        <c:crosses val="autoZero"/>
        <c:auto val="1"/>
        <c:lblAlgn val="ctr"/>
        <c:lblOffset val="100"/>
      </c:catAx>
      <c:valAx>
        <c:axId val="170749952"/>
        <c:scaling>
          <c:orientation val="minMax"/>
        </c:scaling>
        <c:axPos val="l"/>
        <c:majorGridlines/>
        <c:title>
          <c:tx>
            <c:rich>
              <a:bodyPr rot="-5400000" vert="horz"/>
              <a:lstStyle/>
              <a:p>
                <a:pPr>
                  <a:defRPr/>
                </a:pPr>
                <a:r>
                  <a:rPr lang="en-GB"/>
                  <a:t>Percentage</a:t>
                </a:r>
                <a:r>
                  <a:rPr lang="en-GB" baseline="0"/>
                  <a:t> %</a:t>
                </a:r>
                <a:endParaRPr lang="en-GB"/>
              </a:p>
            </c:rich>
          </c:tx>
        </c:title>
        <c:numFmt formatCode="0.0" sourceLinked="1"/>
        <c:tickLblPos val="nextTo"/>
        <c:crossAx val="170739968"/>
        <c:crosses val="autoZero"/>
        <c:crossBetween val="between"/>
      </c:valAx>
    </c:plotArea>
    <c:legend>
      <c:legendPos val="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Analysis</a:t>
            </a:r>
            <a:r>
              <a:rPr lang="en-GB" baseline="0"/>
              <a:t> of Female Welsh Speakers 2007-2008</a:t>
            </a:r>
            <a:endParaRPr lang="en-GB"/>
          </a:p>
        </c:rich>
      </c:tx>
    </c:title>
    <c:view3D>
      <c:rAngAx val="1"/>
    </c:view3D>
    <c:plotArea>
      <c:layout/>
      <c:bar3DChart>
        <c:barDir val="col"/>
        <c:grouping val="clustered"/>
        <c:ser>
          <c:idx val="0"/>
          <c:order val="0"/>
          <c:tx>
            <c:strRef>
              <c:f>Sheet1!$B$2</c:f>
              <c:strCache>
                <c:ptCount val="1"/>
                <c:pt idx="0">
                  <c:v>Welsh Speakers</c:v>
                </c:pt>
              </c:strCache>
            </c:strRef>
          </c:tx>
          <c:cat>
            <c:strRef>
              <c:f>Sheet1!$A$3:$A$5</c:f>
              <c:strCache>
                <c:ptCount val="3"/>
                <c:pt idx="0">
                  <c:v>Retention</c:v>
                </c:pt>
                <c:pt idx="1">
                  <c:v>Attainment</c:v>
                </c:pt>
                <c:pt idx="2">
                  <c:v>Success</c:v>
                </c:pt>
              </c:strCache>
            </c:strRef>
          </c:cat>
          <c:val>
            <c:numRef>
              <c:f>Sheet1!$B$3:$B$5</c:f>
              <c:numCache>
                <c:formatCode>0.0</c:formatCode>
                <c:ptCount val="3"/>
                <c:pt idx="0">
                  <c:v>97.1</c:v>
                </c:pt>
                <c:pt idx="1">
                  <c:v>64.7</c:v>
                </c:pt>
                <c:pt idx="2">
                  <c:v>62.8</c:v>
                </c:pt>
              </c:numCache>
            </c:numRef>
          </c:val>
        </c:ser>
        <c:ser>
          <c:idx val="1"/>
          <c:order val="1"/>
          <c:tx>
            <c:strRef>
              <c:f>Sheet1!$C$2</c:f>
              <c:strCache>
                <c:ptCount val="1"/>
                <c:pt idx="0">
                  <c:v>Non Welsh Speakers</c:v>
                </c:pt>
              </c:strCache>
            </c:strRef>
          </c:tx>
          <c:cat>
            <c:strRef>
              <c:f>Sheet1!$A$3:$A$5</c:f>
              <c:strCache>
                <c:ptCount val="3"/>
                <c:pt idx="0">
                  <c:v>Retention</c:v>
                </c:pt>
                <c:pt idx="1">
                  <c:v>Attainment</c:v>
                </c:pt>
                <c:pt idx="2">
                  <c:v>Success</c:v>
                </c:pt>
              </c:strCache>
            </c:strRef>
          </c:cat>
          <c:val>
            <c:numRef>
              <c:f>Sheet1!$C$3:$C$5</c:f>
              <c:numCache>
                <c:formatCode>0.0</c:formatCode>
                <c:ptCount val="3"/>
                <c:pt idx="0">
                  <c:v>98</c:v>
                </c:pt>
                <c:pt idx="1">
                  <c:v>67.8</c:v>
                </c:pt>
                <c:pt idx="2">
                  <c:v>66.400000000000006</c:v>
                </c:pt>
              </c:numCache>
            </c:numRef>
          </c:val>
        </c:ser>
        <c:shape val="box"/>
        <c:axId val="170779776"/>
        <c:axId val="170781312"/>
        <c:axId val="0"/>
      </c:bar3DChart>
      <c:catAx>
        <c:axId val="170779776"/>
        <c:scaling>
          <c:orientation val="minMax"/>
        </c:scaling>
        <c:axPos val="b"/>
        <c:tickLblPos val="nextTo"/>
        <c:crossAx val="170781312"/>
        <c:crosses val="autoZero"/>
        <c:auto val="1"/>
        <c:lblAlgn val="ctr"/>
        <c:lblOffset val="100"/>
      </c:catAx>
      <c:valAx>
        <c:axId val="170781312"/>
        <c:scaling>
          <c:orientation val="minMax"/>
        </c:scaling>
        <c:axPos val="l"/>
        <c:majorGridlines/>
        <c:title>
          <c:tx>
            <c:rich>
              <a:bodyPr rot="-5400000" vert="horz"/>
              <a:lstStyle/>
              <a:p>
                <a:pPr>
                  <a:defRPr/>
                </a:pPr>
                <a:r>
                  <a:rPr lang="en-GB"/>
                  <a:t>Percentage</a:t>
                </a:r>
                <a:r>
                  <a:rPr lang="en-GB" baseline="0"/>
                  <a:t> %</a:t>
                </a:r>
                <a:endParaRPr lang="en-GB"/>
              </a:p>
            </c:rich>
          </c:tx>
        </c:title>
        <c:numFmt formatCode="0.0" sourceLinked="1"/>
        <c:tickLblPos val="nextTo"/>
        <c:crossAx val="170779776"/>
        <c:crosses val="autoZero"/>
        <c:crossBetween val="between"/>
      </c:valAx>
    </c:plotArea>
    <c:legend>
      <c:legendPos val="r"/>
    </c:legend>
    <c:plotVisOnly val="1"/>
    <c:dispBlanksAs val="gap"/>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Analysis</a:t>
            </a:r>
            <a:r>
              <a:rPr lang="en-GB" baseline="0"/>
              <a:t> of Male Welsh Speakers </a:t>
            </a:r>
          </a:p>
          <a:p>
            <a:pPr>
              <a:defRPr/>
            </a:pPr>
            <a:r>
              <a:rPr lang="en-GB" baseline="0"/>
              <a:t>2008-2009</a:t>
            </a:r>
            <a:endParaRPr lang="en-GB"/>
          </a:p>
        </c:rich>
      </c:tx>
    </c:title>
    <c:view3D>
      <c:rAngAx val="1"/>
    </c:view3D>
    <c:plotArea>
      <c:layout/>
      <c:bar3DChart>
        <c:barDir val="col"/>
        <c:grouping val="clustered"/>
        <c:ser>
          <c:idx val="0"/>
          <c:order val="0"/>
          <c:tx>
            <c:strRef>
              <c:f>Sheet1!$B$2</c:f>
              <c:strCache>
                <c:ptCount val="1"/>
                <c:pt idx="0">
                  <c:v>Welsh Speakers</c:v>
                </c:pt>
              </c:strCache>
            </c:strRef>
          </c:tx>
          <c:cat>
            <c:strRef>
              <c:f>Sheet1!$A$3:$A$5</c:f>
              <c:strCache>
                <c:ptCount val="3"/>
                <c:pt idx="0">
                  <c:v>Retention</c:v>
                </c:pt>
                <c:pt idx="1">
                  <c:v>Attainment</c:v>
                </c:pt>
                <c:pt idx="2">
                  <c:v>Success</c:v>
                </c:pt>
              </c:strCache>
            </c:strRef>
          </c:cat>
          <c:val>
            <c:numRef>
              <c:f>Sheet1!$B$3:$B$5</c:f>
              <c:numCache>
                <c:formatCode>0.0</c:formatCode>
                <c:ptCount val="3"/>
                <c:pt idx="0">
                  <c:v>98.4</c:v>
                </c:pt>
                <c:pt idx="1">
                  <c:v>75.2</c:v>
                </c:pt>
                <c:pt idx="2">
                  <c:v>74</c:v>
                </c:pt>
              </c:numCache>
            </c:numRef>
          </c:val>
        </c:ser>
        <c:ser>
          <c:idx val="1"/>
          <c:order val="1"/>
          <c:tx>
            <c:strRef>
              <c:f>Sheet1!$C$2</c:f>
              <c:strCache>
                <c:ptCount val="1"/>
                <c:pt idx="0">
                  <c:v>Non Welsh Speakers</c:v>
                </c:pt>
              </c:strCache>
            </c:strRef>
          </c:tx>
          <c:cat>
            <c:strRef>
              <c:f>Sheet1!$A$3:$A$5</c:f>
              <c:strCache>
                <c:ptCount val="3"/>
                <c:pt idx="0">
                  <c:v>Retention</c:v>
                </c:pt>
                <c:pt idx="1">
                  <c:v>Attainment</c:v>
                </c:pt>
                <c:pt idx="2">
                  <c:v>Success</c:v>
                </c:pt>
              </c:strCache>
            </c:strRef>
          </c:cat>
          <c:val>
            <c:numRef>
              <c:f>Sheet1!$C$3:$C$5</c:f>
              <c:numCache>
                <c:formatCode>0.0</c:formatCode>
                <c:ptCount val="3"/>
                <c:pt idx="0">
                  <c:v>98.7</c:v>
                </c:pt>
                <c:pt idx="1">
                  <c:v>76.099999999999994</c:v>
                </c:pt>
                <c:pt idx="2">
                  <c:v>75.099999999999994</c:v>
                </c:pt>
              </c:numCache>
            </c:numRef>
          </c:val>
        </c:ser>
        <c:shape val="box"/>
        <c:axId val="170844160"/>
        <c:axId val="170845696"/>
        <c:axId val="0"/>
      </c:bar3DChart>
      <c:catAx>
        <c:axId val="170844160"/>
        <c:scaling>
          <c:orientation val="minMax"/>
        </c:scaling>
        <c:axPos val="b"/>
        <c:tickLblPos val="nextTo"/>
        <c:crossAx val="170845696"/>
        <c:crosses val="autoZero"/>
        <c:auto val="1"/>
        <c:lblAlgn val="ctr"/>
        <c:lblOffset val="100"/>
      </c:catAx>
      <c:valAx>
        <c:axId val="170845696"/>
        <c:scaling>
          <c:orientation val="minMax"/>
        </c:scaling>
        <c:axPos val="l"/>
        <c:majorGridlines/>
        <c:title>
          <c:tx>
            <c:rich>
              <a:bodyPr rot="-5400000" vert="horz"/>
              <a:lstStyle/>
              <a:p>
                <a:pPr>
                  <a:defRPr/>
                </a:pPr>
                <a:r>
                  <a:rPr lang="en-GB"/>
                  <a:t>Percentage</a:t>
                </a:r>
                <a:r>
                  <a:rPr lang="en-GB" baseline="0"/>
                  <a:t> %</a:t>
                </a:r>
                <a:endParaRPr lang="en-GB"/>
              </a:p>
            </c:rich>
          </c:tx>
        </c:title>
        <c:numFmt formatCode="0.0" sourceLinked="1"/>
        <c:tickLblPos val="nextTo"/>
        <c:crossAx val="170844160"/>
        <c:crosses val="autoZero"/>
        <c:crossBetween val="between"/>
      </c:valAx>
    </c:plotArea>
    <c:legend>
      <c:legendPos val="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Analysis</a:t>
            </a:r>
            <a:r>
              <a:rPr lang="en-GB" baseline="0"/>
              <a:t> of Female Welsh Speakers</a:t>
            </a:r>
          </a:p>
          <a:p>
            <a:pPr>
              <a:defRPr/>
            </a:pPr>
            <a:r>
              <a:rPr lang="en-GB" baseline="0"/>
              <a:t> 2008-2009</a:t>
            </a:r>
            <a:endParaRPr lang="en-GB"/>
          </a:p>
        </c:rich>
      </c:tx>
    </c:title>
    <c:view3D>
      <c:rAngAx val="1"/>
    </c:view3D>
    <c:plotArea>
      <c:layout/>
      <c:bar3DChart>
        <c:barDir val="col"/>
        <c:grouping val="clustered"/>
        <c:ser>
          <c:idx val="0"/>
          <c:order val="0"/>
          <c:tx>
            <c:strRef>
              <c:f>Sheet1!$B$2</c:f>
              <c:strCache>
                <c:ptCount val="1"/>
                <c:pt idx="0">
                  <c:v>Welsh Speakers</c:v>
                </c:pt>
              </c:strCache>
            </c:strRef>
          </c:tx>
          <c:cat>
            <c:strRef>
              <c:f>Sheet1!$A$3:$A$6</c:f>
              <c:strCache>
                <c:ptCount val="3"/>
                <c:pt idx="0">
                  <c:v>Retention</c:v>
                </c:pt>
                <c:pt idx="1">
                  <c:v>Attainment</c:v>
                </c:pt>
                <c:pt idx="2">
                  <c:v>Success</c:v>
                </c:pt>
              </c:strCache>
            </c:strRef>
          </c:cat>
          <c:val>
            <c:numRef>
              <c:f>Sheet1!$B$3:$B$6</c:f>
              <c:numCache>
                <c:formatCode>0.0</c:formatCode>
                <c:ptCount val="4"/>
                <c:pt idx="0">
                  <c:v>99</c:v>
                </c:pt>
                <c:pt idx="1">
                  <c:v>55.7</c:v>
                </c:pt>
                <c:pt idx="2">
                  <c:v>55.1</c:v>
                </c:pt>
              </c:numCache>
            </c:numRef>
          </c:val>
        </c:ser>
        <c:ser>
          <c:idx val="1"/>
          <c:order val="1"/>
          <c:tx>
            <c:strRef>
              <c:f>Sheet1!$C$2</c:f>
              <c:strCache>
                <c:ptCount val="1"/>
                <c:pt idx="0">
                  <c:v>Non Welsh Speakers</c:v>
                </c:pt>
              </c:strCache>
            </c:strRef>
          </c:tx>
          <c:cat>
            <c:strRef>
              <c:f>Sheet1!$A$3:$A$6</c:f>
              <c:strCache>
                <c:ptCount val="3"/>
                <c:pt idx="0">
                  <c:v>Retention</c:v>
                </c:pt>
                <c:pt idx="1">
                  <c:v>Attainment</c:v>
                </c:pt>
                <c:pt idx="2">
                  <c:v>Success</c:v>
                </c:pt>
              </c:strCache>
            </c:strRef>
          </c:cat>
          <c:val>
            <c:numRef>
              <c:f>Sheet1!$C$3:$C$6</c:f>
              <c:numCache>
                <c:formatCode>0.0</c:formatCode>
                <c:ptCount val="4"/>
                <c:pt idx="0">
                  <c:v>98</c:v>
                </c:pt>
                <c:pt idx="1">
                  <c:v>76.400000000000006</c:v>
                </c:pt>
                <c:pt idx="2">
                  <c:v>74.900000000000006</c:v>
                </c:pt>
              </c:numCache>
            </c:numRef>
          </c:val>
        </c:ser>
        <c:shape val="box"/>
        <c:axId val="172903040"/>
        <c:axId val="172917120"/>
        <c:axId val="0"/>
      </c:bar3DChart>
      <c:catAx>
        <c:axId val="172903040"/>
        <c:scaling>
          <c:orientation val="minMax"/>
        </c:scaling>
        <c:axPos val="b"/>
        <c:tickLblPos val="nextTo"/>
        <c:crossAx val="172917120"/>
        <c:crosses val="autoZero"/>
        <c:auto val="1"/>
        <c:lblAlgn val="ctr"/>
        <c:lblOffset val="100"/>
      </c:catAx>
      <c:valAx>
        <c:axId val="172917120"/>
        <c:scaling>
          <c:orientation val="minMax"/>
        </c:scaling>
        <c:axPos val="l"/>
        <c:majorGridlines/>
        <c:title>
          <c:tx>
            <c:rich>
              <a:bodyPr rot="-5400000" vert="horz"/>
              <a:lstStyle/>
              <a:p>
                <a:pPr>
                  <a:defRPr/>
                </a:pPr>
                <a:r>
                  <a:rPr lang="en-GB"/>
                  <a:t>Percentage</a:t>
                </a:r>
                <a:r>
                  <a:rPr lang="en-GB" baseline="0"/>
                  <a:t> % </a:t>
                </a:r>
                <a:endParaRPr lang="en-GB"/>
              </a:p>
            </c:rich>
          </c:tx>
        </c:title>
        <c:numFmt formatCode="0.0" sourceLinked="1"/>
        <c:tickLblPos val="nextTo"/>
        <c:crossAx val="172903040"/>
        <c:crosses val="autoZero"/>
        <c:crossBetween val="between"/>
      </c:valAx>
    </c:plotArea>
    <c:legend>
      <c:legendPos val="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Analysis</a:t>
            </a:r>
            <a:r>
              <a:rPr lang="en-GB" baseline="0"/>
              <a:t> of Male Welsh Speakers 2009-2010</a:t>
            </a:r>
            <a:endParaRPr lang="en-GB"/>
          </a:p>
        </c:rich>
      </c:tx>
    </c:title>
    <c:view3D>
      <c:rAngAx val="1"/>
    </c:view3D>
    <c:plotArea>
      <c:layout/>
      <c:bar3DChart>
        <c:barDir val="col"/>
        <c:grouping val="clustered"/>
        <c:ser>
          <c:idx val="0"/>
          <c:order val="0"/>
          <c:tx>
            <c:strRef>
              <c:f>Sheet1!$B$2</c:f>
              <c:strCache>
                <c:ptCount val="1"/>
                <c:pt idx="0">
                  <c:v>Welsh Speakers</c:v>
                </c:pt>
              </c:strCache>
            </c:strRef>
          </c:tx>
          <c:cat>
            <c:strRef>
              <c:f>Sheet1!$A$3:$A$5</c:f>
              <c:strCache>
                <c:ptCount val="3"/>
                <c:pt idx="0">
                  <c:v>Retention</c:v>
                </c:pt>
                <c:pt idx="1">
                  <c:v>Attainment</c:v>
                </c:pt>
                <c:pt idx="2">
                  <c:v>Success</c:v>
                </c:pt>
              </c:strCache>
            </c:strRef>
          </c:cat>
          <c:val>
            <c:numRef>
              <c:f>Sheet1!$B$3:$B$5</c:f>
              <c:numCache>
                <c:formatCode>0.0</c:formatCode>
                <c:ptCount val="3"/>
                <c:pt idx="0">
                  <c:v>92.1</c:v>
                </c:pt>
                <c:pt idx="1">
                  <c:v>81.599999999999994</c:v>
                </c:pt>
                <c:pt idx="2">
                  <c:v>75.2</c:v>
                </c:pt>
              </c:numCache>
            </c:numRef>
          </c:val>
        </c:ser>
        <c:ser>
          <c:idx val="1"/>
          <c:order val="1"/>
          <c:tx>
            <c:strRef>
              <c:f>Sheet1!$C$2</c:f>
              <c:strCache>
                <c:ptCount val="1"/>
                <c:pt idx="0">
                  <c:v>Non Welsh Speakers</c:v>
                </c:pt>
              </c:strCache>
            </c:strRef>
          </c:tx>
          <c:cat>
            <c:strRef>
              <c:f>Sheet1!$A$3:$A$5</c:f>
              <c:strCache>
                <c:ptCount val="3"/>
                <c:pt idx="0">
                  <c:v>Retention</c:v>
                </c:pt>
                <c:pt idx="1">
                  <c:v>Attainment</c:v>
                </c:pt>
                <c:pt idx="2">
                  <c:v>Success</c:v>
                </c:pt>
              </c:strCache>
            </c:strRef>
          </c:cat>
          <c:val>
            <c:numRef>
              <c:f>Sheet1!$C$3:$C$5</c:f>
              <c:numCache>
                <c:formatCode>0.0</c:formatCode>
                <c:ptCount val="3"/>
                <c:pt idx="0">
                  <c:v>90.8</c:v>
                </c:pt>
                <c:pt idx="1">
                  <c:v>82.3</c:v>
                </c:pt>
                <c:pt idx="2">
                  <c:v>74.8</c:v>
                </c:pt>
              </c:numCache>
            </c:numRef>
          </c:val>
        </c:ser>
        <c:shape val="box"/>
        <c:axId val="173016192"/>
        <c:axId val="173017728"/>
        <c:axId val="0"/>
      </c:bar3DChart>
      <c:catAx>
        <c:axId val="173016192"/>
        <c:scaling>
          <c:orientation val="minMax"/>
        </c:scaling>
        <c:axPos val="b"/>
        <c:tickLblPos val="nextTo"/>
        <c:crossAx val="173017728"/>
        <c:crosses val="autoZero"/>
        <c:auto val="1"/>
        <c:lblAlgn val="ctr"/>
        <c:lblOffset val="100"/>
      </c:catAx>
      <c:valAx>
        <c:axId val="173017728"/>
        <c:scaling>
          <c:orientation val="minMax"/>
        </c:scaling>
        <c:axPos val="l"/>
        <c:majorGridlines/>
        <c:title>
          <c:tx>
            <c:rich>
              <a:bodyPr rot="-5400000" vert="horz"/>
              <a:lstStyle/>
              <a:p>
                <a:pPr>
                  <a:defRPr/>
                </a:pPr>
                <a:r>
                  <a:rPr lang="en-GB"/>
                  <a:t>Percentage</a:t>
                </a:r>
                <a:r>
                  <a:rPr lang="en-GB" baseline="0"/>
                  <a:t> %</a:t>
                </a:r>
                <a:endParaRPr lang="en-GB"/>
              </a:p>
            </c:rich>
          </c:tx>
        </c:title>
        <c:numFmt formatCode="0.0" sourceLinked="1"/>
        <c:tickLblPos val="nextTo"/>
        <c:crossAx val="173016192"/>
        <c:crosses val="autoZero"/>
        <c:crossBetween val="between"/>
      </c:valAx>
    </c:plotArea>
    <c:legend>
      <c:legendPos val="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Analysis</a:t>
            </a:r>
            <a:r>
              <a:rPr lang="en-GB" baseline="0"/>
              <a:t> of Female Welsh Speakers 2009-2010</a:t>
            </a:r>
            <a:endParaRPr lang="en-GB"/>
          </a:p>
        </c:rich>
      </c:tx>
    </c:title>
    <c:view3D>
      <c:rAngAx val="1"/>
    </c:view3D>
    <c:plotArea>
      <c:layout/>
      <c:bar3DChart>
        <c:barDir val="col"/>
        <c:grouping val="clustered"/>
        <c:ser>
          <c:idx val="0"/>
          <c:order val="0"/>
          <c:tx>
            <c:strRef>
              <c:f>Sheet1!$B$2</c:f>
              <c:strCache>
                <c:ptCount val="1"/>
                <c:pt idx="0">
                  <c:v>Welsh Speakers</c:v>
                </c:pt>
              </c:strCache>
            </c:strRef>
          </c:tx>
          <c:cat>
            <c:strRef>
              <c:f>Sheet1!$A$3:$A$5</c:f>
              <c:strCache>
                <c:ptCount val="3"/>
                <c:pt idx="0">
                  <c:v>Retention</c:v>
                </c:pt>
                <c:pt idx="1">
                  <c:v>Attainment</c:v>
                </c:pt>
                <c:pt idx="2">
                  <c:v>Success</c:v>
                </c:pt>
              </c:strCache>
            </c:strRef>
          </c:cat>
          <c:val>
            <c:numRef>
              <c:f>Sheet1!$B$3:$B$5</c:f>
              <c:numCache>
                <c:formatCode>0.0</c:formatCode>
                <c:ptCount val="3"/>
                <c:pt idx="0">
                  <c:v>92.4</c:v>
                </c:pt>
                <c:pt idx="1">
                  <c:v>83.9</c:v>
                </c:pt>
                <c:pt idx="2">
                  <c:v>77.5</c:v>
                </c:pt>
              </c:numCache>
            </c:numRef>
          </c:val>
        </c:ser>
        <c:ser>
          <c:idx val="1"/>
          <c:order val="1"/>
          <c:tx>
            <c:strRef>
              <c:f>Sheet1!$C$2</c:f>
              <c:strCache>
                <c:ptCount val="1"/>
                <c:pt idx="0">
                  <c:v>Non Welsh Speakers</c:v>
                </c:pt>
              </c:strCache>
            </c:strRef>
          </c:tx>
          <c:cat>
            <c:strRef>
              <c:f>Sheet1!$A$3:$A$5</c:f>
              <c:strCache>
                <c:ptCount val="3"/>
                <c:pt idx="0">
                  <c:v>Retention</c:v>
                </c:pt>
                <c:pt idx="1">
                  <c:v>Attainment</c:v>
                </c:pt>
                <c:pt idx="2">
                  <c:v>Success</c:v>
                </c:pt>
              </c:strCache>
            </c:strRef>
          </c:cat>
          <c:val>
            <c:numRef>
              <c:f>Sheet1!$C$3:$C$5</c:f>
              <c:numCache>
                <c:formatCode>0.0</c:formatCode>
                <c:ptCount val="3"/>
                <c:pt idx="0">
                  <c:v>90.2</c:v>
                </c:pt>
                <c:pt idx="1">
                  <c:v>81.099999999999994</c:v>
                </c:pt>
                <c:pt idx="2">
                  <c:v>73.2</c:v>
                </c:pt>
              </c:numCache>
            </c:numRef>
          </c:val>
        </c:ser>
        <c:shape val="box"/>
        <c:axId val="173056000"/>
        <c:axId val="173057536"/>
        <c:axId val="0"/>
      </c:bar3DChart>
      <c:catAx>
        <c:axId val="173056000"/>
        <c:scaling>
          <c:orientation val="minMax"/>
        </c:scaling>
        <c:axPos val="b"/>
        <c:tickLblPos val="nextTo"/>
        <c:crossAx val="173057536"/>
        <c:crosses val="autoZero"/>
        <c:auto val="1"/>
        <c:lblAlgn val="ctr"/>
        <c:lblOffset val="100"/>
      </c:catAx>
      <c:valAx>
        <c:axId val="173057536"/>
        <c:scaling>
          <c:orientation val="minMax"/>
        </c:scaling>
        <c:axPos val="l"/>
        <c:majorGridlines/>
        <c:title>
          <c:tx>
            <c:rich>
              <a:bodyPr rot="-5400000" vert="horz"/>
              <a:lstStyle/>
              <a:p>
                <a:pPr>
                  <a:defRPr/>
                </a:pPr>
                <a:r>
                  <a:rPr lang="en-GB"/>
                  <a:t>Percentage</a:t>
                </a:r>
                <a:r>
                  <a:rPr lang="en-GB" baseline="0"/>
                  <a:t> %</a:t>
                </a:r>
                <a:endParaRPr lang="en-GB"/>
              </a:p>
            </c:rich>
          </c:tx>
        </c:title>
        <c:numFmt formatCode="0.0" sourceLinked="1"/>
        <c:tickLblPos val="nextTo"/>
        <c:crossAx val="173056000"/>
        <c:crosses val="autoZero"/>
        <c:crossBetween val="between"/>
      </c:valAx>
    </c:plotArea>
    <c:legend>
      <c:legendPos val="r"/>
    </c:legend>
    <c:plotVisOnly val="1"/>
    <c:dispBlanksAs val="gap"/>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Communities First Enrolments    2007-2008</a:t>
            </a:r>
          </a:p>
        </c:rich>
      </c:tx>
    </c:title>
    <c:plotArea>
      <c:layout/>
      <c:pieChart>
        <c:varyColors val="1"/>
        <c:ser>
          <c:idx val="0"/>
          <c:order val="0"/>
          <c:explosion val="25"/>
          <c:dLbls>
            <c:showPercent val="1"/>
            <c:showLeaderLines val="1"/>
          </c:dLbls>
          <c:cat>
            <c:strRef>
              <c:f>Sheet1!$A$3:$A$4</c:f>
              <c:strCache>
                <c:ptCount val="2"/>
                <c:pt idx="0">
                  <c:v>Enrolments from Communities First Areas</c:v>
                </c:pt>
                <c:pt idx="1">
                  <c:v>Enrolments from non Communities First Areas</c:v>
                </c:pt>
              </c:strCache>
            </c:strRef>
          </c:cat>
          <c:val>
            <c:numRef>
              <c:f>Sheet1!$B$3:$B$4</c:f>
              <c:numCache>
                <c:formatCode>General</c:formatCode>
                <c:ptCount val="2"/>
                <c:pt idx="0">
                  <c:v>6739</c:v>
                </c:pt>
                <c:pt idx="1">
                  <c:v>15450</c:v>
                </c:pt>
              </c:numCache>
            </c:numRef>
          </c:val>
        </c:ser>
        <c:dLbls>
          <c:showVal val="1"/>
        </c:dLbls>
        <c:firstSliceAng val="0"/>
      </c:pieChart>
    </c:plotArea>
    <c:legend>
      <c:legendPos val="r"/>
    </c:legend>
    <c:plotVisOnly val="1"/>
    <c:dispBlanksAs val="zero"/>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Communities</a:t>
            </a:r>
            <a:r>
              <a:rPr lang="en-GB" baseline="0"/>
              <a:t> First Analysis 2007-2008</a:t>
            </a:r>
            <a:endParaRPr lang="en-GB"/>
          </a:p>
        </c:rich>
      </c:tx>
    </c:title>
    <c:view3D>
      <c:rAngAx val="1"/>
    </c:view3D>
    <c:plotArea>
      <c:layout/>
      <c:bar3DChart>
        <c:barDir val="col"/>
        <c:grouping val="clustered"/>
        <c:ser>
          <c:idx val="0"/>
          <c:order val="0"/>
          <c:tx>
            <c:strRef>
              <c:f>Sheet1!$B$2</c:f>
              <c:strCache>
                <c:ptCount val="1"/>
                <c:pt idx="0">
                  <c:v>Learners from Communities First areas</c:v>
                </c:pt>
              </c:strCache>
            </c:strRef>
          </c:tx>
          <c:cat>
            <c:strRef>
              <c:f>Sheet1!$A$3:$A$5</c:f>
              <c:strCache>
                <c:ptCount val="3"/>
                <c:pt idx="0">
                  <c:v>Retention</c:v>
                </c:pt>
                <c:pt idx="1">
                  <c:v>Attainment</c:v>
                </c:pt>
                <c:pt idx="2">
                  <c:v>Success</c:v>
                </c:pt>
              </c:strCache>
            </c:strRef>
          </c:cat>
          <c:val>
            <c:numRef>
              <c:f>Sheet1!$B$3:$B$5</c:f>
              <c:numCache>
                <c:formatCode>General</c:formatCode>
                <c:ptCount val="3"/>
                <c:pt idx="0">
                  <c:v>97.2</c:v>
                </c:pt>
                <c:pt idx="1">
                  <c:v>63.8</c:v>
                </c:pt>
                <c:pt idx="2">
                  <c:v>62</c:v>
                </c:pt>
              </c:numCache>
            </c:numRef>
          </c:val>
        </c:ser>
        <c:ser>
          <c:idx val="1"/>
          <c:order val="1"/>
          <c:tx>
            <c:strRef>
              <c:f>Sheet1!$C$2</c:f>
              <c:strCache>
                <c:ptCount val="1"/>
                <c:pt idx="0">
                  <c:v>Learners from outside Communities First areas</c:v>
                </c:pt>
              </c:strCache>
            </c:strRef>
          </c:tx>
          <c:cat>
            <c:strRef>
              <c:f>Sheet1!$A$3:$A$5</c:f>
              <c:strCache>
                <c:ptCount val="3"/>
                <c:pt idx="0">
                  <c:v>Retention</c:v>
                </c:pt>
                <c:pt idx="1">
                  <c:v>Attainment</c:v>
                </c:pt>
                <c:pt idx="2">
                  <c:v>Success</c:v>
                </c:pt>
              </c:strCache>
            </c:strRef>
          </c:cat>
          <c:val>
            <c:numRef>
              <c:f>Sheet1!$C$3:$C$5</c:f>
              <c:numCache>
                <c:formatCode>General</c:formatCode>
                <c:ptCount val="3"/>
                <c:pt idx="0">
                  <c:v>97.8</c:v>
                </c:pt>
                <c:pt idx="1">
                  <c:v>64.599999999999994</c:v>
                </c:pt>
                <c:pt idx="2">
                  <c:v>63.2</c:v>
                </c:pt>
              </c:numCache>
            </c:numRef>
          </c:val>
        </c:ser>
        <c:shape val="box"/>
        <c:axId val="173130880"/>
        <c:axId val="173132416"/>
        <c:axId val="0"/>
      </c:bar3DChart>
      <c:catAx>
        <c:axId val="173130880"/>
        <c:scaling>
          <c:orientation val="minMax"/>
        </c:scaling>
        <c:axPos val="b"/>
        <c:tickLblPos val="nextTo"/>
        <c:crossAx val="173132416"/>
        <c:crosses val="autoZero"/>
        <c:auto val="1"/>
        <c:lblAlgn val="ctr"/>
        <c:lblOffset val="100"/>
      </c:catAx>
      <c:valAx>
        <c:axId val="173132416"/>
        <c:scaling>
          <c:orientation val="minMax"/>
        </c:scaling>
        <c:axPos val="l"/>
        <c:majorGridlines/>
        <c:title>
          <c:tx>
            <c:rich>
              <a:bodyPr rot="-5400000" vert="horz"/>
              <a:lstStyle/>
              <a:p>
                <a:pPr>
                  <a:defRPr/>
                </a:pPr>
                <a:r>
                  <a:rPr lang="en-GB"/>
                  <a:t>Percentage</a:t>
                </a:r>
                <a:r>
                  <a:rPr lang="en-GB" baseline="0"/>
                  <a:t> %</a:t>
                </a:r>
                <a:endParaRPr lang="en-GB"/>
              </a:p>
            </c:rich>
          </c:tx>
        </c:title>
        <c:numFmt formatCode="General" sourceLinked="1"/>
        <c:tickLblPos val="nextTo"/>
        <c:crossAx val="173130880"/>
        <c:crosses val="autoZero"/>
        <c:crossBetween val="between"/>
      </c:valAx>
    </c:plotArea>
    <c:legend>
      <c:legendPos val="r"/>
    </c:legend>
    <c:plotVisOnly val="1"/>
    <c:dispBlanksAs val="gap"/>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Communities First Enrolments     2008-2009</a:t>
            </a:r>
          </a:p>
        </c:rich>
      </c:tx>
    </c:title>
    <c:plotArea>
      <c:layout/>
      <c:pieChart>
        <c:varyColors val="1"/>
        <c:ser>
          <c:idx val="0"/>
          <c:order val="0"/>
          <c:explosion val="25"/>
          <c:dLbls>
            <c:showPercent val="1"/>
            <c:showLeaderLines val="1"/>
          </c:dLbls>
          <c:cat>
            <c:strRef>
              <c:f>Sheet1!$A$3:$A$4</c:f>
              <c:strCache>
                <c:ptCount val="2"/>
                <c:pt idx="0">
                  <c:v>Enrolments from Communities First Areas</c:v>
                </c:pt>
                <c:pt idx="1">
                  <c:v>Enrolments from non Communities First Areas</c:v>
                </c:pt>
              </c:strCache>
            </c:strRef>
          </c:cat>
          <c:val>
            <c:numRef>
              <c:f>Sheet1!$B$3:$B$4</c:f>
              <c:numCache>
                <c:formatCode>General</c:formatCode>
                <c:ptCount val="2"/>
                <c:pt idx="0">
                  <c:v>7285</c:v>
                </c:pt>
                <c:pt idx="1">
                  <c:v>14677</c:v>
                </c:pt>
              </c:numCache>
            </c:numRef>
          </c:val>
        </c:ser>
        <c:dLbls>
          <c:showVal val="1"/>
        </c:dLbls>
        <c:firstSliceAng val="0"/>
      </c:pie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baseline="0"/>
              <a:t>Gender Distribution by School</a:t>
            </a:r>
          </a:p>
          <a:p>
            <a:pPr>
              <a:defRPr/>
            </a:pPr>
            <a:r>
              <a:rPr lang="en-GB" baseline="0"/>
              <a:t>2009-2010</a:t>
            </a:r>
          </a:p>
          <a:p>
            <a:pPr>
              <a:defRPr/>
            </a:pPr>
            <a:endParaRPr lang="en-GB"/>
          </a:p>
        </c:rich>
      </c:tx>
    </c:title>
    <c:plotArea>
      <c:layout/>
      <c:barChart>
        <c:barDir val="bar"/>
        <c:grouping val="clustered"/>
        <c:ser>
          <c:idx val="0"/>
          <c:order val="0"/>
          <c:tx>
            <c:strRef>
              <c:f>Sheet1!$B$1</c:f>
              <c:strCache>
                <c:ptCount val="1"/>
                <c:pt idx="0">
                  <c:v>Males</c:v>
                </c:pt>
              </c:strCache>
            </c:strRef>
          </c:tx>
          <c:cat>
            <c:strRef>
              <c:f>Sheet1!$A$2:$A$20</c:f>
              <c:strCache>
                <c:ptCount val="19"/>
                <c:pt idx="0">
                  <c:v>ACE</c:v>
                </c:pt>
                <c:pt idx="1">
                  <c:v>AE</c:v>
                </c:pt>
                <c:pt idx="2">
                  <c:v>BES</c:v>
                </c:pt>
                <c:pt idx="3">
                  <c:v>CBE</c:v>
                </c:pt>
                <c:pt idx="4">
                  <c:v>BTH</c:v>
                </c:pt>
                <c:pt idx="5">
                  <c:v>CIT</c:v>
                </c:pt>
                <c:pt idx="6">
                  <c:v>CVP</c:v>
                </c:pt>
                <c:pt idx="7">
                  <c:v>ENG</c:v>
                </c:pt>
                <c:pt idx="8">
                  <c:v>FAC6FORM</c:v>
                </c:pt>
                <c:pt idx="9">
                  <c:v>HAT</c:v>
                </c:pt>
                <c:pt idx="10">
                  <c:v>HSC</c:v>
                </c:pt>
                <c:pt idx="11">
                  <c:v>PWT</c:v>
                </c:pt>
                <c:pt idx="12">
                  <c:v>IBC</c:v>
                </c:pt>
                <c:pt idx="13">
                  <c:v>IES</c:v>
                </c:pt>
                <c:pt idx="14">
                  <c:v>MAS</c:v>
                </c:pt>
                <c:pt idx="15">
                  <c:v>PVS</c:v>
                </c:pt>
                <c:pt idx="16">
                  <c:v>SPS</c:v>
                </c:pt>
                <c:pt idx="17">
                  <c:v>SSL</c:v>
                </c:pt>
                <c:pt idx="18">
                  <c:v>UFI</c:v>
                </c:pt>
              </c:strCache>
            </c:strRef>
          </c:cat>
          <c:val>
            <c:numRef>
              <c:f>Sheet1!$B$2:$B$20</c:f>
              <c:numCache>
                <c:formatCode>General</c:formatCode>
                <c:ptCount val="19"/>
                <c:pt idx="0">
                  <c:v>26.6</c:v>
                </c:pt>
                <c:pt idx="1">
                  <c:v>30.8</c:v>
                </c:pt>
                <c:pt idx="2">
                  <c:v>97.7</c:v>
                </c:pt>
                <c:pt idx="3">
                  <c:v>97.3</c:v>
                </c:pt>
                <c:pt idx="4">
                  <c:v>40.800000000000004</c:v>
                </c:pt>
                <c:pt idx="5">
                  <c:v>70.5</c:v>
                </c:pt>
                <c:pt idx="6">
                  <c:v>44</c:v>
                </c:pt>
                <c:pt idx="7">
                  <c:v>94.7</c:v>
                </c:pt>
                <c:pt idx="8">
                  <c:v>46</c:v>
                </c:pt>
                <c:pt idx="9">
                  <c:v>12.7</c:v>
                </c:pt>
                <c:pt idx="10">
                  <c:v>4.3</c:v>
                </c:pt>
                <c:pt idx="11">
                  <c:v>0</c:v>
                </c:pt>
                <c:pt idx="12">
                  <c:v>67.7</c:v>
                </c:pt>
                <c:pt idx="13">
                  <c:v>19</c:v>
                </c:pt>
                <c:pt idx="14">
                  <c:v>59.1</c:v>
                </c:pt>
                <c:pt idx="15">
                  <c:v>50.2</c:v>
                </c:pt>
                <c:pt idx="16">
                  <c:v>76.8</c:v>
                </c:pt>
                <c:pt idx="17">
                  <c:v>52.9</c:v>
                </c:pt>
                <c:pt idx="18">
                  <c:v>22.9</c:v>
                </c:pt>
              </c:numCache>
            </c:numRef>
          </c:val>
        </c:ser>
        <c:ser>
          <c:idx val="1"/>
          <c:order val="1"/>
          <c:tx>
            <c:strRef>
              <c:f>Sheet1!$C$1</c:f>
              <c:strCache>
                <c:ptCount val="1"/>
                <c:pt idx="0">
                  <c:v>Females</c:v>
                </c:pt>
              </c:strCache>
            </c:strRef>
          </c:tx>
          <c:cat>
            <c:strRef>
              <c:f>Sheet1!$A$2:$A$20</c:f>
              <c:strCache>
                <c:ptCount val="19"/>
                <c:pt idx="0">
                  <c:v>ACE</c:v>
                </c:pt>
                <c:pt idx="1">
                  <c:v>AE</c:v>
                </c:pt>
                <c:pt idx="2">
                  <c:v>BES</c:v>
                </c:pt>
                <c:pt idx="3">
                  <c:v>CBE</c:v>
                </c:pt>
                <c:pt idx="4">
                  <c:v>BTH</c:v>
                </c:pt>
                <c:pt idx="5">
                  <c:v>CIT</c:v>
                </c:pt>
                <c:pt idx="6">
                  <c:v>CVP</c:v>
                </c:pt>
                <c:pt idx="7">
                  <c:v>ENG</c:v>
                </c:pt>
                <c:pt idx="8">
                  <c:v>FAC6FORM</c:v>
                </c:pt>
                <c:pt idx="9">
                  <c:v>HAT</c:v>
                </c:pt>
                <c:pt idx="10">
                  <c:v>HSC</c:v>
                </c:pt>
                <c:pt idx="11">
                  <c:v>PWT</c:v>
                </c:pt>
                <c:pt idx="12">
                  <c:v>IBC</c:v>
                </c:pt>
                <c:pt idx="13">
                  <c:v>IES</c:v>
                </c:pt>
                <c:pt idx="14">
                  <c:v>MAS</c:v>
                </c:pt>
                <c:pt idx="15">
                  <c:v>PVS</c:v>
                </c:pt>
                <c:pt idx="16">
                  <c:v>SPS</c:v>
                </c:pt>
                <c:pt idx="17">
                  <c:v>SSL</c:v>
                </c:pt>
                <c:pt idx="18">
                  <c:v>UFI</c:v>
                </c:pt>
              </c:strCache>
            </c:strRef>
          </c:cat>
          <c:val>
            <c:numRef>
              <c:f>Sheet1!$C$2:$C$20</c:f>
              <c:numCache>
                <c:formatCode>General</c:formatCode>
                <c:ptCount val="19"/>
                <c:pt idx="0">
                  <c:v>73.400000000000006</c:v>
                </c:pt>
                <c:pt idx="1">
                  <c:v>69.2</c:v>
                </c:pt>
                <c:pt idx="2">
                  <c:v>2.2999999999999998</c:v>
                </c:pt>
                <c:pt idx="3">
                  <c:v>2.7</c:v>
                </c:pt>
                <c:pt idx="4">
                  <c:v>59.2</c:v>
                </c:pt>
                <c:pt idx="5">
                  <c:v>29.5</c:v>
                </c:pt>
                <c:pt idx="6">
                  <c:v>56</c:v>
                </c:pt>
                <c:pt idx="7">
                  <c:v>5.3</c:v>
                </c:pt>
                <c:pt idx="8">
                  <c:v>54</c:v>
                </c:pt>
                <c:pt idx="9">
                  <c:v>87.3</c:v>
                </c:pt>
                <c:pt idx="10">
                  <c:v>95.7</c:v>
                </c:pt>
                <c:pt idx="11">
                  <c:v>100</c:v>
                </c:pt>
                <c:pt idx="12">
                  <c:v>32.300000000000004</c:v>
                </c:pt>
                <c:pt idx="13">
                  <c:v>81</c:v>
                </c:pt>
                <c:pt idx="14">
                  <c:v>40.9</c:v>
                </c:pt>
                <c:pt idx="15">
                  <c:v>49.8</c:v>
                </c:pt>
                <c:pt idx="16">
                  <c:v>23.2</c:v>
                </c:pt>
                <c:pt idx="17">
                  <c:v>47.1</c:v>
                </c:pt>
                <c:pt idx="18">
                  <c:v>77.099999999999994</c:v>
                </c:pt>
              </c:numCache>
            </c:numRef>
          </c:val>
        </c:ser>
        <c:axId val="91338624"/>
        <c:axId val="91348992"/>
      </c:barChart>
      <c:catAx>
        <c:axId val="91338624"/>
        <c:scaling>
          <c:orientation val="minMax"/>
        </c:scaling>
        <c:axPos val="l"/>
        <c:title>
          <c:tx>
            <c:rich>
              <a:bodyPr rot="-5400000" vert="horz"/>
              <a:lstStyle/>
              <a:p>
                <a:pPr>
                  <a:defRPr/>
                </a:pPr>
                <a:r>
                  <a:rPr lang="en-GB"/>
                  <a:t>School</a:t>
                </a:r>
                <a:r>
                  <a:rPr lang="en-GB" baseline="0"/>
                  <a:t> </a:t>
                </a:r>
                <a:endParaRPr lang="en-GB"/>
              </a:p>
            </c:rich>
          </c:tx>
        </c:title>
        <c:tickLblPos val="nextTo"/>
        <c:crossAx val="91348992"/>
        <c:crosses val="autoZero"/>
        <c:auto val="1"/>
        <c:lblAlgn val="ctr"/>
        <c:lblOffset val="100"/>
      </c:catAx>
      <c:valAx>
        <c:axId val="91348992"/>
        <c:scaling>
          <c:orientation val="minMax"/>
        </c:scaling>
        <c:axPos val="b"/>
        <c:majorGridlines/>
        <c:title>
          <c:tx>
            <c:rich>
              <a:bodyPr/>
              <a:lstStyle/>
              <a:p>
                <a:pPr>
                  <a:defRPr/>
                </a:pPr>
                <a:r>
                  <a:rPr lang="en-GB"/>
                  <a:t>Percentage</a:t>
                </a:r>
                <a:r>
                  <a:rPr lang="en-GB" baseline="0"/>
                  <a:t> % </a:t>
                </a:r>
                <a:endParaRPr lang="en-GB"/>
              </a:p>
            </c:rich>
          </c:tx>
        </c:title>
        <c:numFmt formatCode="General" sourceLinked="1"/>
        <c:tickLblPos val="nextTo"/>
        <c:crossAx val="91338624"/>
        <c:crosses val="autoZero"/>
        <c:crossBetween val="between"/>
      </c:valAx>
    </c:plotArea>
    <c:legend>
      <c:legendPos val="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Communities</a:t>
            </a:r>
            <a:r>
              <a:rPr lang="en-GB" baseline="0"/>
              <a:t> First Analysis 2008-2009</a:t>
            </a:r>
            <a:endParaRPr lang="en-GB"/>
          </a:p>
        </c:rich>
      </c:tx>
    </c:title>
    <c:view3D>
      <c:rAngAx val="1"/>
    </c:view3D>
    <c:plotArea>
      <c:layout/>
      <c:bar3DChart>
        <c:barDir val="col"/>
        <c:grouping val="clustered"/>
        <c:ser>
          <c:idx val="0"/>
          <c:order val="0"/>
          <c:tx>
            <c:strRef>
              <c:f>Sheet1!$B$2</c:f>
              <c:strCache>
                <c:ptCount val="1"/>
                <c:pt idx="0">
                  <c:v>Learners from Communities First areas</c:v>
                </c:pt>
              </c:strCache>
            </c:strRef>
          </c:tx>
          <c:cat>
            <c:strRef>
              <c:f>Sheet1!$A$3:$A$5</c:f>
              <c:strCache>
                <c:ptCount val="3"/>
                <c:pt idx="0">
                  <c:v>Retention</c:v>
                </c:pt>
                <c:pt idx="1">
                  <c:v>Attainment</c:v>
                </c:pt>
                <c:pt idx="2">
                  <c:v>Success</c:v>
                </c:pt>
              </c:strCache>
            </c:strRef>
          </c:cat>
          <c:val>
            <c:numRef>
              <c:f>Sheet1!$B$3:$B$5</c:f>
              <c:numCache>
                <c:formatCode>General</c:formatCode>
                <c:ptCount val="3"/>
                <c:pt idx="0">
                  <c:v>98.2</c:v>
                </c:pt>
                <c:pt idx="1">
                  <c:v>77.2</c:v>
                </c:pt>
                <c:pt idx="2">
                  <c:v>75.900000000000006</c:v>
                </c:pt>
              </c:numCache>
            </c:numRef>
          </c:val>
        </c:ser>
        <c:ser>
          <c:idx val="1"/>
          <c:order val="1"/>
          <c:tx>
            <c:strRef>
              <c:f>Sheet1!$C$2</c:f>
              <c:strCache>
                <c:ptCount val="1"/>
                <c:pt idx="0">
                  <c:v>Learners from outside Communities First areas</c:v>
                </c:pt>
              </c:strCache>
            </c:strRef>
          </c:tx>
          <c:cat>
            <c:strRef>
              <c:f>Sheet1!$A$3:$A$5</c:f>
              <c:strCache>
                <c:ptCount val="3"/>
                <c:pt idx="0">
                  <c:v>Retention</c:v>
                </c:pt>
                <c:pt idx="1">
                  <c:v>Attainment</c:v>
                </c:pt>
                <c:pt idx="2">
                  <c:v>Success</c:v>
                </c:pt>
              </c:strCache>
            </c:strRef>
          </c:cat>
          <c:val>
            <c:numRef>
              <c:f>Sheet1!$C$3:$C$5</c:f>
              <c:numCache>
                <c:formatCode>General</c:formatCode>
                <c:ptCount val="3"/>
                <c:pt idx="0">
                  <c:v>98.5</c:v>
                </c:pt>
                <c:pt idx="1">
                  <c:v>76.099999999999994</c:v>
                </c:pt>
                <c:pt idx="2">
                  <c:v>75</c:v>
                </c:pt>
              </c:numCache>
            </c:numRef>
          </c:val>
        </c:ser>
        <c:shape val="box"/>
        <c:axId val="173197568"/>
        <c:axId val="173203456"/>
        <c:axId val="0"/>
      </c:bar3DChart>
      <c:catAx>
        <c:axId val="173197568"/>
        <c:scaling>
          <c:orientation val="minMax"/>
        </c:scaling>
        <c:axPos val="b"/>
        <c:tickLblPos val="nextTo"/>
        <c:crossAx val="173203456"/>
        <c:crosses val="autoZero"/>
        <c:auto val="1"/>
        <c:lblAlgn val="ctr"/>
        <c:lblOffset val="100"/>
      </c:catAx>
      <c:valAx>
        <c:axId val="173203456"/>
        <c:scaling>
          <c:orientation val="minMax"/>
        </c:scaling>
        <c:axPos val="l"/>
        <c:majorGridlines/>
        <c:title>
          <c:tx>
            <c:rich>
              <a:bodyPr rot="-5400000" vert="horz"/>
              <a:lstStyle/>
              <a:p>
                <a:pPr>
                  <a:defRPr/>
                </a:pPr>
                <a:r>
                  <a:rPr lang="en-GB"/>
                  <a:t>Percentage</a:t>
                </a:r>
                <a:r>
                  <a:rPr lang="en-GB" baseline="0"/>
                  <a:t> %</a:t>
                </a:r>
                <a:endParaRPr lang="en-GB"/>
              </a:p>
            </c:rich>
          </c:tx>
        </c:title>
        <c:numFmt formatCode="General" sourceLinked="1"/>
        <c:tickLblPos val="nextTo"/>
        <c:crossAx val="173197568"/>
        <c:crosses val="autoZero"/>
        <c:crossBetween val="between"/>
      </c:valAx>
    </c:plotArea>
    <c:legend>
      <c:legendPos val="r"/>
    </c:legend>
    <c:plotVisOnly val="1"/>
    <c:dispBlanksAs val="gap"/>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Communities First Enrolments    2009-2010</a:t>
            </a:r>
          </a:p>
        </c:rich>
      </c:tx>
    </c:title>
    <c:plotArea>
      <c:layout/>
      <c:pieChart>
        <c:varyColors val="1"/>
        <c:ser>
          <c:idx val="0"/>
          <c:order val="0"/>
          <c:explosion val="25"/>
          <c:dLbls>
            <c:showPercent val="1"/>
            <c:showLeaderLines val="1"/>
          </c:dLbls>
          <c:cat>
            <c:strRef>
              <c:f>Sheet1!$A$3:$A$4</c:f>
              <c:strCache>
                <c:ptCount val="2"/>
                <c:pt idx="0">
                  <c:v>Enrolments from Communities First Areas</c:v>
                </c:pt>
                <c:pt idx="1">
                  <c:v>Enrolments from non Communities First Areas</c:v>
                </c:pt>
              </c:strCache>
            </c:strRef>
          </c:cat>
          <c:val>
            <c:numRef>
              <c:f>Sheet1!$B$3:$B$4</c:f>
              <c:numCache>
                <c:formatCode>General</c:formatCode>
                <c:ptCount val="2"/>
                <c:pt idx="0">
                  <c:v>8218</c:v>
                </c:pt>
                <c:pt idx="1">
                  <c:v>16829</c:v>
                </c:pt>
              </c:numCache>
            </c:numRef>
          </c:val>
        </c:ser>
        <c:dLbls>
          <c:showVal val="1"/>
        </c:dLbls>
        <c:firstSliceAng val="0"/>
      </c:pieChart>
    </c:plotArea>
    <c:legend>
      <c:legendPos val="r"/>
    </c:legend>
    <c:plotVisOnly val="1"/>
    <c:dispBlanksAs val="zero"/>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Communities</a:t>
            </a:r>
            <a:r>
              <a:rPr lang="en-GB" baseline="0"/>
              <a:t> First Analysis          2009-2010</a:t>
            </a:r>
            <a:endParaRPr lang="en-GB"/>
          </a:p>
        </c:rich>
      </c:tx>
    </c:title>
    <c:view3D>
      <c:rAngAx val="1"/>
    </c:view3D>
    <c:plotArea>
      <c:layout/>
      <c:bar3DChart>
        <c:barDir val="col"/>
        <c:grouping val="clustered"/>
        <c:ser>
          <c:idx val="0"/>
          <c:order val="0"/>
          <c:tx>
            <c:strRef>
              <c:f>Sheet1!$B$2</c:f>
              <c:strCache>
                <c:ptCount val="1"/>
                <c:pt idx="0">
                  <c:v>Learners from Communities First areas</c:v>
                </c:pt>
              </c:strCache>
            </c:strRef>
          </c:tx>
          <c:cat>
            <c:strRef>
              <c:f>Sheet1!$A$3:$A$5</c:f>
              <c:strCache>
                <c:ptCount val="3"/>
                <c:pt idx="0">
                  <c:v>Retention</c:v>
                </c:pt>
                <c:pt idx="1">
                  <c:v>Attainment</c:v>
                </c:pt>
                <c:pt idx="2">
                  <c:v>Success</c:v>
                </c:pt>
              </c:strCache>
            </c:strRef>
          </c:cat>
          <c:val>
            <c:numRef>
              <c:f>Sheet1!$B$3:$B$5</c:f>
              <c:numCache>
                <c:formatCode>General</c:formatCode>
                <c:ptCount val="3"/>
                <c:pt idx="0">
                  <c:v>90.2</c:v>
                </c:pt>
                <c:pt idx="1">
                  <c:v>81.599999999999994</c:v>
                </c:pt>
                <c:pt idx="2">
                  <c:v>73.599999999999994</c:v>
                </c:pt>
              </c:numCache>
            </c:numRef>
          </c:val>
        </c:ser>
        <c:ser>
          <c:idx val="1"/>
          <c:order val="1"/>
          <c:tx>
            <c:strRef>
              <c:f>Sheet1!$C$2</c:f>
              <c:strCache>
                <c:ptCount val="1"/>
                <c:pt idx="0">
                  <c:v>Learners from outside Communities First areas</c:v>
                </c:pt>
              </c:strCache>
            </c:strRef>
          </c:tx>
          <c:cat>
            <c:strRef>
              <c:f>Sheet1!$A$3:$A$5</c:f>
              <c:strCache>
                <c:ptCount val="3"/>
                <c:pt idx="0">
                  <c:v>Retention</c:v>
                </c:pt>
                <c:pt idx="1">
                  <c:v>Attainment</c:v>
                </c:pt>
                <c:pt idx="2">
                  <c:v>Success</c:v>
                </c:pt>
              </c:strCache>
            </c:strRef>
          </c:cat>
          <c:val>
            <c:numRef>
              <c:f>Sheet1!$C$3:$C$5</c:f>
              <c:numCache>
                <c:formatCode>General</c:formatCode>
                <c:ptCount val="3"/>
                <c:pt idx="0">
                  <c:v>91</c:v>
                </c:pt>
                <c:pt idx="1">
                  <c:v>82</c:v>
                </c:pt>
                <c:pt idx="2">
                  <c:v>74.7</c:v>
                </c:pt>
              </c:numCache>
            </c:numRef>
          </c:val>
        </c:ser>
        <c:shape val="box"/>
        <c:axId val="174361984"/>
        <c:axId val="174380160"/>
        <c:axId val="0"/>
      </c:bar3DChart>
      <c:catAx>
        <c:axId val="174361984"/>
        <c:scaling>
          <c:orientation val="minMax"/>
        </c:scaling>
        <c:axPos val="b"/>
        <c:tickLblPos val="nextTo"/>
        <c:crossAx val="174380160"/>
        <c:crosses val="autoZero"/>
        <c:auto val="1"/>
        <c:lblAlgn val="ctr"/>
        <c:lblOffset val="100"/>
      </c:catAx>
      <c:valAx>
        <c:axId val="174380160"/>
        <c:scaling>
          <c:orientation val="minMax"/>
        </c:scaling>
        <c:axPos val="l"/>
        <c:majorGridlines/>
        <c:title>
          <c:tx>
            <c:rich>
              <a:bodyPr rot="-5400000" vert="horz"/>
              <a:lstStyle/>
              <a:p>
                <a:pPr>
                  <a:defRPr/>
                </a:pPr>
                <a:r>
                  <a:rPr lang="en-GB"/>
                  <a:t>Percentage</a:t>
                </a:r>
                <a:r>
                  <a:rPr lang="en-GB" baseline="0"/>
                  <a:t> %</a:t>
                </a:r>
                <a:endParaRPr lang="en-GB"/>
              </a:p>
            </c:rich>
          </c:tx>
        </c:title>
        <c:numFmt formatCode="General" sourceLinked="1"/>
        <c:tickLblPos val="nextTo"/>
        <c:crossAx val="174361984"/>
        <c:crosses val="autoZero"/>
        <c:crossBetween val="between"/>
      </c:valAx>
    </c:plotArea>
    <c:legend>
      <c:legendPos val="r"/>
    </c:legend>
    <c:plotVisOnly val="1"/>
    <c:dispBlanksAs val="gap"/>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Retention</a:t>
            </a:r>
            <a:r>
              <a:rPr lang="en-GB" baseline="0"/>
              <a:t> Trend by Communities First Areas</a:t>
            </a:r>
            <a:endParaRPr lang="en-GB"/>
          </a:p>
        </c:rich>
      </c:tx>
    </c:title>
    <c:plotArea>
      <c:layout/>
      <c:lineChart>
        <c:grouping val="standard"/>
        <c:ser>
          <c:idx val="0"/>
          <c:order val="0"/>
          <c:tx>
            <c:strRef>
              <c:f>Sheet1!$A$5</c:f>
              <c:strCache>
                <c:ptCount val="1"/>
                <c:pt idx="0">
                  <c:v>Communities First</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97.2</c:v>
                </c:pt>
                <c:pt idx="1">
                  <c:v>98.2</c:v>
                </c:pt>
                <c:pt idx="2">
                  <c:v>90.2</c:v>
                </c:pt>
              </c:numCache>
            </c:numRef>
          </c:val>
        </c:ser>
        <c:ser>
          <c:idx val="1"/>
          <c:order val="1"/>
          <c:tx>
            <c:strRef>
              <c:f>Sheet1!$A$6</c:f>
              <c:strCache>
                <c:ptCount val="1"/>
                <c:pt idx="0">
                  <c:v>Non Communities First</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97.8</c:v>
                </c:pt>
                <c:pt idx="1">
                  <c:v>98.5</c:v>
                </c:pt>
                <c:pt idx="2">
                  <c:v>91</c:v>
                </c:pt>
              </c:numCache>
            </c:numRef>
          </c:val>
        </c:ser>
        <c:marker val="1"/>
        <c:axId val="174798720"/>
        <c:axId val="174813184"/>
      </c:lineChart>
      <c:catAx>
        <c:axId val="174798720"/>
        <c:scaling>
          <c:orientation val="minMax"/>
        </c:scaling>
        <c:axPos val="b"/>
        <c:title>
          <c:tx>
            <c:rich>
              <a:bodyPr/>
              <a:lstStyle/>
              <a:p>
                <a:pPr>
                  <a:defRPr/>
                </a:pPr>
                <a:r>
                  <a:rPr lang="en-GB"/>
                  <a:t>Academic</a:t>
                </a:r>
                <a:r>
                  <a:rPr lang="en-GB" baseline="0"/>
                  <a:t> Year</a:t>
                </a:r>
                <a:endParaRPr lang="en-GB"/>
              </a:p>
            </c:rich>
          </c:tx>
        </c:title>
        <c:tickLblPos val="nextTo"/>
        <c:crossAx val="174813184"/>
        <c:crosses val="autoZero"/>
        <c:auto val="1"/>
        <c:lblAlgn val="ctr"/>
        <c:lblOffset val="100"/>
      </c:catAx>
      <c:valAx>
        <c:axId val="174813184"/>
        <c:scaling>
          <c:orientation val="minMax"/>
        </c:scaling>
        <c:axPos val="l"/>
        <c:majorGridlines/>
        <c:title>
          <c:tx>
            <c:rich>
              <a:bodyPr rot="-5400000" vert="horz"/>
              <a:lstStyle/>
              <a:p>
                <a:pPr>
                  <a:defRPr/>
                </a:pPr>
                <a:r>
                  <a:rPr lang="en-GB"/>
                  <a:t>Percentage</a:t>
                </a:r>
                <a:r>
                  <a:rPr lang="en-GB" baseline="0"/>
                  <a:t> %</a:t>
                </a:r>
                <a:endParaRPr lang="en-GB"/>
              </a:p>
            </c:rich>
          </c:tx>
        </c:title>
        <c:numFmt formatCode="General" sourceLinked="1"/>
        <c:tickLblPos val="nextTo"/>
        <c:crossAx val="174798720"/>
        <c:crosses val="autoZero"/>
        <c:crossBetween val="between"/>
      </c:valAx>
    </c:plotArea>
    <c:legend>
      <c:legendPos val="r"/>
    </c:legend>
    <c:plotVisOnly val="1"/>
    <c:dispBlanksAs val="gap"/>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Attainment</a:t>
            </a:r>
            <a:r>
              <a:rPr lang="en-GB" baseline="0"/>
              <a:t> Trend by Communities First Areas</a:t>
            </a:r>
            <a:endParaRPr lang="en-GB"/>
          </a:p>
        </c:rich>
      </c:tx>
    </c:title>
    <c:plotArea>
      <c:layout/>
      <c:lineChart>
        <c:grouping val="standard"/>
        <c:ser>
          <c:idx val="0"/>
          <c:order val="0"/>
          <c:tx>
            <c:strRef>
              <c:f>Sheet1!$A$5</c:f>
              <c:strCache>
                <c:ptCount val="1"/>
                <c:pt idx="0">
                  <c:v>Communities First</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63.8</c:v>
                </c:pt>
                <c:pt idx="1">
                  <c:v>77.2</c:v>
                </c:pt>
                <c:pt idx="2">
                  <c:v>81.599999999999994</c:v>
                </c:pt>
              </c:numCache>
            </c:numRef>
          </c:val>
        </c:ser>
        <c:ser>
          <c:idx val="1"/>
          <c:order val="1"/>
          <c:tx>
            <c:strRef>
              <c:f>Sheet1!$A$6</c:f>
              <c:strCache>
                <c:ptCount val="1"/>
                <c:pt idx="0">
                  <c:v>Non Communities First</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64.599999999999994</c:v>
                </c:pt>
                <c:pt idx="1">
                  <c:v>76.099999999999994</c:v>
                </c:pt>
                <c:pt idx="2">
                  <c:v>82</c:v>
                </c:pt>
              </c:numCache>
            </c:numRef>
          </c:val>
        </c:ser>
        <c:marker val="1"/>
        <c:axId val="175645440"/>
        <c:axId val="175647360"/>
      </c:lineChart>
      <c:catAx>
        <c:axId val="175645440"/>
        <c:scaling>
          <c:orientation val="minMax"/>
        </c:scaling>
        <c:axPos val="b"/>
        <c:title>
          <c:tx>
            <c:rich>
              <a:bodyPr/>
              <a:lstStyle/>
              <a:p>
                <a:pPr>
                  <a:defRPr/>
                </a:pPr>
                <a:r>
                  <a:rPr lang="en-GB"/>
                  <a:t>Academic</a:t>
                </a:r>
                <a:r>
                  <a:rPr lang="en-GB" baseline="0"/>
                  <a:t> Year </a:t>
                </a:r>
                <a:endParaRPr lang="en-GB"/>
              </a:p>
            </c:rich>
          </c:tx>
        </c:title>
        <c:tickLblPos val="nextTo"/>
        <c:crossAx val="175647360"/>
        <c:crosses val="autoZero"/>
        <c:auto val="1"/>
        <c:lblAlgn val="ctr"/>
        <c:lblOffset val="100"/>
      </c:catAx>
      <c:valAx>
        <c:axId val="175647360"/>
        <c:scaling>
          <c:orientation val="minMax"/>
        </c:scaling>
        <c:axPos val="l"/>
        <c:majorGridlines/>
        <c:title>
          <c:tx>
            <c:rich>
              <a:bodyPr rot="-5400000" vert="horz"/>
              <a:lstStyle/>
              <a:p>
                <a:pPr>
                  <a:defRPr/>
                </a:pPr>
                <a:r>
                  <a:rPr lang="en-GB"/>
                  <a:t>Percentage</a:t>
                </a:r>
                <a:r>
                  <a:rPr lang="en-GB" baseline="0"/>
                  <a:t> %</a:t>
                </a:r>
                <a:endParaRPr lang="en-GB"/>
              </a:p>
            </c:rich>
          </c:tx>
        </c:title>
        <c:numFmt formatCode="General" sourceLinked="1"/>
        <c:tickLblPos val="nextTo"/>
        <c:crossAx val="175645440"/>
        <c:crosses val="autoZero"/>
        <c:crossBetween val="between"/>
      </c:valAx>
    </c:plotArea>
    <c:legend>
      <c:legendPos val="r"/>
    </c:legend>
    <c:plotVisOnly val="1"/>
    <c:dispBlanksAs val="gap"/>
  </c:chart>
  <c:externalData r:id="rId1"/>
</c:chartSpace>
</file>

<file path=word/charts/chart75.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Trend by Communities First Areas</a:t>
            </a:r>
            <a:endParaRPr lang="en-GB"/>
          </a:p>
        </c:rich>
      </c:tx>
    </c:title>
    <c:plotArea>
      <c:layout/>
      <c:lineChart>
        <c:grouping val="standard"/>
        <c:ser>
          <c:idx val="0"/>
          <c:order val="0"/>
          <c:tx>
            <c:strRef>
              <c:f>Sheet1!$A$5</c:f>
              <c:strCache>
                <c:ptCount val="1"/>
                <c:pt idx="0">
                  <c:v>Communities First</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62</c:v>
                </c:pt>
                <c:pt idx="1">
                  <c:v>75.900000000000006</c:v>
                </c:pt>
                <c:pt idx="2">
                  <c:v>73.599999999999994</c:v>
                </c:pt>
              </c:numCache>
            </c:numRef>
          </c:val>
        </c:ser>
        <c:ser>
          <c:idx val="1"/>
          <c:order val="1"/>
          <c:tx>
            <c:strRef>
              <c:f>Sheet1!$A$6</c:f>
              <c:strCache>
                <c:ptCount val="1"/>
                <c:pt idx="0">
                  <c:v>Non Communities First</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63.2</c:v>
                </c:pt>
                <c:pt idx="1">
                  <c:v>75</c:v>
                </c:pt>
                <c:pt idx="2">
                  <c:v>74.7</c:v>
                </c:pt>
              </c:numCache>
            </c:numRef>
          </c:val>
        </c:ser>
        <c:marker val="1"/>
        <c:axId val="175689088"/>
        <c:axId val="175719936"/>
      </c:lineChart>
      <c:catAx>
        <c:axId val="175689088"/>
        <c:scaling>
          <c:orientation val="minMax"/>
        </c:scaling>
        <c:axPos val="b"/>
        <c:title>
          <c:tx>
            <c:rich>
              <a:bodyPr/>
              <a:lstStyle/>
              <a:p>
                <a:pPr>
                  <a:defRPr/>
                </a:pPr>
                <a:r>
                  <a:rPr lang="en-GB"/>
                  <a:t>Academic</a:t>
                </a:r>
                <a:r>
                  <a:rPr lang="en-GB" baseline="0"/>
                  <a:t> Year</a:t>
                </a:r>
                <a:endParaRPr lang="en-GB"/>
              </a:p>
            </c:rich>
          </c:tx>
        </c:title>
        <c:tickLblPos val="nextTo"/>
        <c:crossAx val="175719936"/>
        <c:crosses val="autoZero"/>
        <c:auto val="1"/>
        <c:lblAlgn val="ctr"/>
        <c:lblOffset val="100"/>
      </c:catAx>
      <c:valAx>
        <c:axId val="175719936"/>
        <c:scaling>
          <c:orientation val="minMax"/>
        </c:scaling>
        <c:axPos val="l"/>
        <c:majorGridlines/>
        <c:title>
          <c:tx>
            <c:rich>
              <a:bodyPr rot="-5400000" vert="horz"/>
              <a:lstStyle/>
              <a:p>
                <a:pPr>
                  <a:defRPr/>
                </a:pPr>
                <a:r>
                  <a:rPr lang="en-GB"/>
                  <a:t>Percenatge</a:t>
                </a:r>
                <a:r>
                  <a:rPr lang="en-GB" baseline="0"/>
                  <a:t> %</a:t>
                </a:r>
                <a:endParaRPr lang="en-GB"/>
              </a:p>
            </c:rich>
          </c:tx>
        </c:title>
        <c:numFmt formatCode="General" sourceLinked="1"/>
        <c:tickLblPos val="nextTo"/>
        <c:crossAx val="175689088"/>
        <c:crosses val="autoZero"/>
        <c:crossBetween val="between"/>
      </c:valAx>
    </c:plotArea>
    <c:legend>
      <c:legendPos val="r"/>
    </c:legend>
    <c:plotVisOnly val="1"/>
    <c:dispBlanksAs val="gap"/>
  </c:chart>
  <c:externalData r:id="rId1"/>
</c:chartSpace>
</file>

<file path=word/charts/chart76.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by Communities First Areas (ACE)</a:t>
            </a:r>
            <a:endParaRPr lang="en-GB"/>
          </a:p>
        </c:rich>
      </c:tx>
    </c:title>
    <c:plotArea>
      <c:layout/>
      <c:lineChart>
        <c:grouping val="standard"/>
        <c:ser>
          <c:idx val="0"/>
          <c:order val="0"/>
          <c:tx>
            <c:strRef>
              <c:f>Sheet1!$A$4</c:f>
              <c:strCache>
                <c:ptCount val="1"/>
              </c:strCache>
            </c:strRef>
          </c:tx>
          <c:marker>
            <c:symbol val="none"/>
          </c:marker>
          <c:cat>
            <c:strRef>
              <c:f>Sheet1!$B$3:$D$3</c:f>
              <c:strCache>
                <c:ptCount val="3"/>
                <c:pt idx="0">
                  <c:v>2007-2008</c:v>
                </c:pt>
                <c:pt idx="1">
                  <c:v>2008-2009</c:v>
                </c:pt>
                <c:pt idx="2">
                  <c:v>2009-2010</c:v>
                </c:pt>
              </c:strCache>
            </c:strRef>
          </c:cat>
          <c:val>
            <c:numRef>
              <c:f>Sheet1!$B$4:$D$4</c:f>
              <c:numCache>
                <c:formatCode>General</c:formatCode>
                <c:ptCount val="3"/>
              </c:numCache>
            </c:numRef>
          </c:val>
        </c:ser>
        <c:ser>
          <c:idx val="1"/>
          <c:order val="1"/>
          <c:tx>
            <c:strRef>
              <c:f>Sheet1!$A$5</c:f>
              <c:strCache>
                <c:ptCount val="1"/>
                <c:pt idx="0">
                  <c:v>Communities First</c:v>
                </c:pt>
              </c:strCache>
            </c:strRef>
          </c:tx>
          <c:marker>
            <c:symbol val="none"/>
          </c:marker>
          <c:cat>
            <c:strRef>
              <c:f>Sheet1!$B$3:$D$3</c:f>
              <c:strCache>
                <c:ptCount val="3"/>
                <c:pt idx="0">
                  <c:v>2007-2008</c:v>
                </c:pt>
                <c:pt idx="1">
                  <c:v>2008-2009</c:v>
                </c:pt>
                <c:pt idx="2">
                  <c:v>2009-2010</c:v>
                </c:pt>
              </c:strCache>
            </c:strRef>
          </c:cat>
          <c:val>
            <c:numRef>
              <c:f>Sheet1!$B$5:$D$5</c:f>
              <c:numCache>
                <c:formatCode>General</c:formatCode>
                <c:ptCount val="3"/>
                <c:pt idx="0">
                  <c:v>62.6</c:v>
                </c:pt>
                <c:pt idx="1">
                  <c:v>73.8</c:v>
                </c:pt>
                <c:pt idx="2">
                  <c:v>79</c:v>
                </c:pt>
              </c:numCache>
            </c:numRef>
          </c:val>
        </c:ser>
        <c:ser>
          <c:idx val="2"/>
          <c:order val="2"/>
          <c:tx>
            <c:strRef>
              <c:f>Sheet1!$A$6</c:f>
              <c:strCache>
                <c:ptCount val="1"/>
                <c:pt idx="0">
                  <c:v>Non Communities First</c:v>
                </c:pt>
              </c:strCache>
            </c:strRef>
          </c:tx>
          <c:marker>
            <c:symbol val="none"/>
          </c:marker>
          <c:cat>
            <c:strRef>
              <c:f>Sheet1!$B$3:$D$3</c:f>
              <c:strCache>
                <c:ptCount val="3"/>
                <c:pt idx="0">
                  <c:v>2007-2008</c:v>
                </c:pt>
                <c:pt idx="1">
                  <c:v>2008-2009</c:v>
                </c:pt>
                <c:pt idx="2">
                  <c:v>2009-2010</c:v>
                </c:pt>
              </c:strCache>
            </c:strRef>
          </c:cat>
          <c:val>
            <c:numRef>
              <c:f>Sheet1!$B$6:$D$6</c:f>
              <c:numCache>
                <c:formatCode>General</c:formatCode>
                <c:ptCount val="3"/>
                <c:pt idx="0">
                  <c:v>67.7</c:v>
                </c:pt>
                <c:pt idx="1">
                  <c:v>76.2</c:v>
                </c:pt>
                <c:pt idx="2">
                  <c:v>76.3</c:v>
                </c:pt>
              </c:numCache>
            </c:numRef>
          </c:val>
        </c:ser>
        <c:marker val="1"/>
        <c:axId val="175746048"/>
        <c:axId val="175756416"/>
      </c:lineChart>
      <c:catAx>
        <c:axId val="175746048"/>
        <c:scaling>
          <c:orientation val="minMax"/>
        </c:scaling>
        <c:axPos val="b"/>
        <c:title>
          <c:tx>
            <c:rich>
              <a:bodyPr/>
              <a:lstStyle/>
              <a:p>
                <a:pPr>
                  <a:defRPr/>
                </a:pPr>
                <a:r>
                  <a:rPr lang="en-GB"/>
                  <a:t>Academic</a:t>
                </a:r>
                <a:r>
                  <a:rPr lang="en-GB" baseline="0"/>
                  <a:t> Year</a:t>
                </a:r>
                <a:endParaRPr lang="en-GB"/>
              </a:p>
            </c:rich>
          </c:tx>
        </c:title>
        <c:tickLblPos val="nextTo"/>
        <c:crossAx val="175756416"/>
        <c:crosses val="autoZero"/>
        <c:auto val="1"/>
        <c:lblAlgn val="ctr"/>
        <c:lblOffset val="100"/>
      </c:catAx>
      <c:valAx>
        <c:axId val="175756416"/>
        <c:scaling>
          <c:orientation val="minMax"/>
        </c:scaling>
        <c:axPos val="l"/>
        <c:majorGridlines/>
        <c:title>
          <c:tx>
            <c:rich>
              <a:bodyPr rot="-5400000" vert="horz"/>
              <a:lstStyle/>
              <a:p>
                <a:pPr>
                  <a:defRPr/>
                </a:pPr>
                <a:r>
                  <a:rPr lang="en-GB"/>
                  <a:t>Percentage</a:t>
                </a:r>
                <a:r>
                  <a:rPr lang="en-GB" baseline="0"/>
                  <a:t> %</a:t>
                </a:r>
                <a:endParaRPr lang="en-GB"/>
              </a:p>
            </c:rich>
          </c:tx>
        </c:title>
        <c:numFmt formatCode="General" sourceLinked="1"/>
        <c:tickLblPos val="nextTo"/>
        <c:crossAx val="175746048"/>
        <c:crosses val="autoZero"/>
        <c:crossBetween val="between"/>
      </c:valAx>
    </c:plotArea>
    <c:legend>
      <c:legendPos val="r"/>
      <c:legendEntry>
        <c:idx val="0"/>
        <c:delete val="1"/>
      </c:legendEntry>
    </c:legend>
    <c:plotVisOnly val="1"/>
    <c:dispBlanksAs val="gap"/>
  </c:chart>
  <c:externalData r:id="rId1"/>
</c:chartSpace>
</file>

<file path=word/charts/chart77.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by Communities First  Areas (AE)</a:t>
            </a:r>
            <a:endParaRPr lang="en-GB"/>
          </a:p>
        </c:rich>
      </c:tx>
    </c:title>
    <c:plotArea>
      <c:layout/>
      <c:lineChart>
        <c:grouping val="standard"/>
        <c:ser>
          <c:idx val="0"/>
          <c:order val="0"/>
          <c:tx>
            <c:strRef>
              <c:f>Sheet1!$A$5</c:f>
              <c:strCache>
                <c:ptCount val="1"/>
                <c:pt idx="0">
                  <c:v>Communities First</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70.599999999999994</c:v>
                </c:pt>
                <c:pt idx="1">
                  <c:v>66.900000000000006</c:v>
                </c:pt>
                <c:pt idx="2">
                  <c:v>87.8</c:v>
                </c:pt>
              </c:numCache>
            </c:numRef>
          </c:val>
        </c:ser>
        <c:ser>
          <c:idx val="1"/>
          <c:order val="1"/>
          <c:tx>
            <c:strRef>
              <c:f>Sheet1!$A$6</c:f>
              <c:strCache>
                <c:ptCount val="1"/>
                <c:pt idx="0">
                  <c:v>Non Communities First</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77.5</c:v>
                </c:pt>
                <c:pt idx="1">
                  <c:v>71.3</c:v>
                </c:pt>
                <c:pt idx="2">
                  <c:v>83.2</c:v>
                </c:pt>
              </c:numCache>
            </c:numRef>
          </c:val>
        </c:ser>
        <c:marker val="1"/>
        <c:axId val="175913216"/>
        <c:axId val="175915392"/>
      </c:lineChart>
      <c:catAx>
        <c:axId val="175913216"/>
        <c:scaling>
          <c:orientation val="minMax"/>
        </c:scaling>
        <c:axPos val="b"/>
        <c:title>
          <c:tx>
            <c:rich>
              <a:bodyPr/>
              <a:lstStyle/>
              <a:p>
                <a:pPr>
                  <a:defRPr/>
                </a:pPr>
                <a:r>
                  <a:rPr lang="en-GB"/>
                  <a:t>Academic</a:t>
                </a:r>
                <a:r>
                  <a:rPr lang="en-GB" baseline="0"/>
                  <a:t> Year</a:t>
                </a:r>
                <a:endParaRPr lang="en-GB"/>
              </a:p>
            </c:rich>
          </c:tx>
        </c:title>
        <c:tickLblPos val="nextTo"/>
        <c:crossAx val="175915392"/>
        <c:crosses val="autoZero"/>
        <c:auto val="1"/>
        <c:lblAlgn val="ctr"/>
        <c:lblOffset val="100"/>
      </c:catAx>
      <c:valAx>
        <c:axId val="175915392"/>
        <c:scaling>
          <c:orientation val="minMax"/>
        </c:scaling>
        <c:axPos val="l"/>
        <c:majorGridlines/>
        <c:title>
          <c:tx>
            <c:rich>
              <a:bodyPr rot="-5400000" vert="horz"/>
              <a:lstStyle/>
              <a:p>
                <a:pPr>
                  <a:defRPr/>
                </a:pPr>
                <a:r>
                  <a:rPr lang="en-GB"/>
                  <a:t>Percentage</a:t>
                </a:r>
                <a:r>
                  <a:rPr lang="en-GB" baseline="0"/>
                  <a:t> %</a:t>
                </a:r>
                <a:endParaRPr lang="en-GB"/>
              </a:p>
            </c:rich>
          </c:tx>
        </c:title>
        <c:numFmt formatCode="General" sourceLinked="1"/>
        <c:tickLblPos val="nextTo"/>
        <c:crossAx val="175913216"/>
        <c:crosses val="autoZero"/>
        <c:crossBetween val="between"/>
      </c:valAx>
    </c:plotArea>
    <c:legend>
      <c:legendPos val="r"/>
    </c:legend>
    <c:plotVisOnly val="1"/>
    <c:dispBlanksAs val="gap"/>
  </c:chart>
  <c:externalData r:id="rId1"/>
</c:chartSpace>
</file>

<file path=word/charts/chart78.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by Communities First Areas (BTH)</a:t>
            </a:r>
            <a:endParaRPr lang="en-GB"/>
          </a:p>
        </c:rich>
      </c:tx>
    </c:title>
    <c:plotArea>
      <c:layout/>
      <c:lineChart>
        <c:grouping val="standard"/>
        <c:ser>
          <c:idx val="0"/>
          <c:order val="0"/>
          <c:tx>
            <c:strRef>
              <c:f>Sheet1!$A$5</c:f>
              <c:strCache>
                <c:ptCount val="1"/>
                <c:pt idx="0">
                  <c:v>Communities First</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65.400000000000006</c:v>
                </c:pt>
                <c:pt idx="1">
                  <c:v>80.400000000000006</c:v>
                </c:pt>
                <c:pt idx="2">
                  <c:v>69.900000000000006</c:v>
                </c:pt>
              </c:numCache>
            </c:numRef>
          </c:val>
        </c:ser>
        <c:ser>
          <c:idx val="1"/>
          <c:order val="1"/>
          <c:tx>
            <c:strRef>
              <c:f>Sheet1!$A$6</c:f>
              <c:strCache>
                <c:ptCount val="1"/>
                <c:pt idx="0">
                  <c:v>Non Communities First</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60.5</c:v>
                </c:pt>
                <c:pt idx="1">
                  <c:v>79</c:v>
                </c:pt>
                <c:pt idx="2">
                  <c:v>70.400000000000006</c:v>
                </c:pt>
              </c:numCache>
            </c:numRef>
          </c:val>
        </c:ser>
        <c:marker val="1"/>
        <c:axId val="175961216"/>
        <c:axId val="175963136"/>
      </c:lineChart>
      <c:catAx>
        <c:axId val="175961216"/>
        <c:scaling>
          <c:orientation val="minMax"/>
        </c:scaling>
        <c:axPos val="b"/>
        <c:title>
          <c:tx>
            <c:rich>
              <a:bodyPr/>
              <a:lstStyle/>
              <a:p>
                <a:pPr>
                  <a:defRPr/>
                </a:pPr>
                <a:r>
                  <a:rPr lang="en-GB"/>
                  <a:t>Academic</a:t>
                </a:r>
                <a:r>
                  <a:rPr lang="en-GB" baseline="0"/>
                  <a:t> Year</a:t>
                </a:r>
                <a:endParaRPr lang="en-GB"/>
              </a:p>
            </c:rich>
          </c:tx>
        </c:title>
        <c:tickLblPos val="nextTo"/>
        <c:crossAx val="175963136"/>
        <c:crosses val="autoZero"/>
        <c:auto val="1"/>
        <c:lblAlgn val="ctr"/>
        <c:lblOffset val="100"/>
      </c:catAx>
      <c:valAx>
        <c:axId val="175963136"/>
        <c:scaling>
          <c:orientation val="minMax"/>
        </c:scaling>
        <c:axPos val="l"/>
        <c:majorGridlines/>
        <c:title>
          <c:tx>
            <c:rich>
              <a:bodyPr rot="-5400000" vert="horz"/>
              <a:lstStyle/>
              <a:p>
                <a:pPr>
                  <a:defRPr/>
                </a:pPr>
                <a:r>
                  <a:rPr lang="en-GB"/>
                  <a:t>Percentage</a:t>
                </a:r>
                <a:r>
                  <a:rPr lang="en-GB" baseline="0"/>
                  <a:t> %</a:t>
                </a:r>
                <a:endParaRPr lang="en-GB"/>
              </a:p>
            </c:rich>
          </c:tx>
        </c:title>
        <c:numFmt formatCode="General" sourceLinked="1"/>
        <c:tickLblPos val="nextTo"/>
        <c:crossAx val="175961216"/>
        <c:crosses val="autoZero"/>
        <c:crossBetween val="between"/>
      </c:valAx>
    </c:plotArea>
    <c:legend>
      <c:legendPos val="r"/>
    </c:legend>
    <c:plotVisOnly val="1"/>
    <c:dispBlanksAs val="gap"/>
  </c:chart>
  <c:externalData r:id="rId1"/>
</c:chartSpace>
</file>

<file path=word/charts/chart79.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by Communities First Areas (CBE)</a:t>
            </a:r>
            <a:endParaRPr lang="en-GB"/>
          </a:p>
        </c:rich>
      </c:tx>
    </c:title>
    <c:plotArea>
      <c:layout/>
      <c:lineChart>
        <c:grouping val="standard"/>
        <c:ser>
          <c:idx val="0"/>
          <c:order val="0"/>
          <c:tx>
            <c:strRef>
              <c:f>Sheet1!$A$5</c:f>
              <c:strCache>
                <c:ptCount val="1"/>
                <c:pt idx="0">
                  <c:v>Communities First</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50.2</c:v>
                </c:pt>
                <c:pt idx="1">
                  <c:v>82.8</c:v>
                </c:pt>
                <c:pt idx="2">
                  <c:v>76.2</c:v>
                </c:pt>
              </c:numCache>
            </c:numRef>
          </c:val>
        </c:ser>
        <c:ser>
          <c:idx val="1"/>
          <c:order val="1"/>
          <c:tx>
            <c:strRef>
              <c:f>Sheet1!$A$6</c:f>
              <c:strCache>
                <c:ptCount val="1"/>
                <c:pt idx="0">
                  <c:v>Non Communities First</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58.1</c:v>
                </c:pt>
                <c:pt idx="1">
                  <c:v>74</c:v>
                </c:pt>
                <c:pt idx="2">
                  <c:v>77.8</c:v>
                </c:pt>
              </c:numCache>
            </c:numRef>
          </c:val>
        </c:ser>
        <c:marker val="1"/>
        <c:axId val="177324032"/>
        <c:axId val="177325952"/>
      </c:lineChart>
      <c:catAx>
        <c:axId val="177324032"/>
        <c:scaling>
          <c:orientation val="minMax"/>
        </c:scaling>
        <c:axPos val="b"/>
        <c:title>
          <c:tx>
            <c:rich>
              <a:bodyPr/>
              <a:lstStyle/>
              <a:p>
                <a:pPr>
                  <a:defRPr/>
                </a:pPr>
                <a:r>
                  <a:rPr lang="en-GB"/>
                  <a:t>Academic</a:t>
                </a:r>
                <a:r>
                  <a:rPr lang="en-GB" baseline="0"/>
                  <a:t> Year</a:t>
                </a:r>
                <a:endParaRPr lang="en-GB"/>
              </a:p>
            </c:rich>
          </c:tx>
        </c:title>
        <c:tickLblPos val="nextTo"/>
        <c:crossAx val="177325952"/>
        <c:crosses val="autoZero"/>
        <c:auto val="1"/>
        <c:lblAlgn val="ctr"/>
        <c:lblOffset val="100"/>
      </c:catAx>
      <c:valAx>
        <c:axId val="177325952"/>
        <c:scaling>
          <c:orientation val="minMax"/>
        </c:scaling>
        <c:axPos val="l"/>
        <c:majorGridlines/>
        <c:title>
          <c:tx>
            <c:rich>
              <a:bodyPr rot="-5400000" vert="horz"/>
              <a:lstStyle/>
              <a:p>
                <a:pPr>
                  <a:defRPr/>
                </a:pPr>
                <a:r>
                  <a:rPr lang="en-GB"/>
                  <a:t>Percentage</a:t>
                </a:r>
                <a:r>
                  <a:rPr lang="en-GB" baseline="0"/>
                  <a:t> %</a:t>
                </a:r>
                <a:endParaRPr lang="en-GB"/>
              </a:p>
            </c:rich>
          </c:tx>
        </c:title>
        <c:numFmt formatCode="General" sourceLinked="1"/>
        <c:tickLblPos val="nextTo"/>
        <c:crossAx val="177324032"/>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Gender</a:t>
            </a:r>
            <a:r>
              <a:rPr lang="en-GB" baseline="0"/>
              <a:t> Analysis 2009-2010</a:t>
            </a:r>
            <a:endParaRPr lang="en-GB"/>
          </a:p>
        </c:rich>
      </c:tx>
    </c:title>
    <c:view3D>
      <c:rAngAx val="1"/>
    </c:view3D>
    <c:plotArea>
      <c:layout/>
      <c:bar3DChart>
        <c:barDir val="col"/>
        <c:grouping val="clustered"/>
        <c:ser>
          <c:idx val="0"/>
          <c:order val="0"/>
          <c:tx>
            <c:strRef>
              <c:f>Sheet1!$A$4</c:f>
              <c:strCache>
                <c:ptCount val="1"/>
                <c:pt idx="0">
                  <c:v>Males</c:v>
                </c:pt>
              </c:strCache>
            </c:strRef>
          </c:tx>
          <c:cat>
            <c:strRef>
              <c:f>Sheet1!$B$3:$D$3</c:f>
              <c:strCache>
                <c:ptCount val="3"/>
                <c:pt idx="0">
                  <c:v>Retention</c:v>
                </c:pt>
                <c:pt idx="1">
                  <c:v>Attainment</c:v>
                </c:pt>
                <c:pt idx="2">
                  <c:v>Success</c:v>
                </c:pt>
              </c:strCache>
            </c:strRef>
          </c:cat>
          <c:val>
            <c:numRef>
              <c:f>Sheet1!$B$4:$D$4</c:f>
              <c:numCache>
                <c:formatCode>General</c:formatCode>
                <c:ptCount val="3"/>
                <c:pt idx="0">
                  <c:v>91</c:v>
                </c:pt>
                <c:pt idx="1">
                  <c:v>82.2</c:v>
                </c:pt>
                <c:pt idx="2">
                  <c:v>74.8</c:v>
                </c:pt>
              </c:numCache>
            </c:numRef>
          </c:val>
        </c:ser>
        <c:ser>
          <c:idx val="1"/>
          <c:order val="1"/>
          <c:tx>
            <c:strRef>
              <c:f>Sheet1!$A$5</c:f>
              <c:strCache>
                <c:ptCount val="1"/>
                <c:pt idx="0">
                  <c:v>Females</c:v>
                </c:pt>
              </c:strCache>
            </c:strRef>
          </c:tx>
          <c:cat>
            <c:strRef>
              <c:f>Sheet1!$B$3:$D$3</c:f>
              <c:strCache>
                <c:ptCount val="3"/>
                <c:pt idx="0">
                  <c:v>Retention</c:v>
                </c:pt>
                <c:pt idx="1">
                  <c:v>Attainment</c:v>
                </c:pt>
                <c:pt idx="2">
                  <c:v>Success</c:v>
                </c:pt>
              </c:strCache>
            </c:strRef>
          </c:cat>
          <c:val>
            <c:numRef>
              <c:f>Sheet1!$B$5:$D$5</c:f>
              <c:numCache>
                <c:formatCode>General</c:formatCode>
                <c:ptCount val="3"/>
                <c:pt idx="0">
                  <c:v>90.6</c:v>
                </c:pt>
                <c:pt idx="1">
                  <c:v>81.599999999999994</c:v>
                </c:pt>
                <c:pt idx="2">
                  <c:v>73.900000000000006</c:v>
                </c:pt>
              </c:numCache>
            </c:numRef>
          </c:val>
        </c:ser>
        <c:shape val="box"/>
        <c:axId val="91632768"/>
        <c:axId val="91634304"/>
        <c:axId val="0"/>
      </c:bar3DChart>
      <c:catAx>
        <c:axId val="91632768"/>
        <c:scaling>
          <c:orientation val="minMax"/>
        </c:scaling>
        <c:axPos val="b"/>
        <c:tickLblPos val="nextTo"/>
        <c:crossAx val="91634304"/>
        <c:crosses val="autoZero"/>
        <c:auto val="1"/>
        <c:lblAlgn val="ctr"/>
        <c:lblOffset val="100"/>
      </c:catAx>
      <c:valAx>
        <c:axId val="91634304"/>
        <c:scaling>
          <c:orientation val="minMax"/>
        </c:scaling>
        <c:axPos val="l"/>
        <c:majorGridlines/>
        <c:title>
          <c:tx>
            <c:rich>
              <a:bodyPr rot="-5400000" vert="horz"/>
              <a:lstStyle/>
              <a:p>
                <a:pPr>
                  <a:defRPr/>
                </a:pPr>
                <a:r>
                  <a:rPr lang="en-GB"/>
                  <a:t>Percentage</a:t>
                </a:r>
                <a:r>
                  <a:rPr lang="en-GB" baseline="0"/>
                  <a:t> %</a:t>
                </a:r>
                <a:endParaRPr lang="en-GB"/>
              </a:p>
            </c:rich>
          </c:tx>
        </c:title>
        <c:numFmt formatCode="General" sourceLinked="1"/>
        <c:tickLblPos val="nextTo"/>
        <c:crossAx val="91632768"/>
        <c:crosses val="autoZero"/>
        <c:crossBetween val="between"/>
      </c:valAx>
    </c:plotArea>
    <c:legend>
      <c:legendPos val="r"/>
    </c:legend>
    <c:plotVisOnly val="1"/>
    <c:dispBlanksAs val="gap"/>
  </c:chart>
  <c:externalData r:id="rId1"/>
</c:chartSpace>
</file>

<file path=word/charts/chart80.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by Communities First Areas (CIT)</a:t>
            </a:r>
            <a:endParaRPr lang="en-GB"/>
          </a:p>
        </c:rich>
      </c:tx>
    </c:title>
    <c:plotArea>
      <c:layout/>
      <c:lineChart>
        <c:grouping val="standard"/>
        <c:ser>
          <c:idx val="0"/>
          <c:order val="0"/>
          <c:tx>
            <c:strRef>
              <c:f>Sheet1!$A$5</c:f>
              <c:strCache>
                <c:ptCount val="1"/>
                <c:pt idx="0">
                  <c:v>Communities First</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52.6</c:v>
                </c:pt>
                <c:pt idx="1">
                  <c:v>51.3</c:v>
                </c:pt>
                <c:pt idx="2">
                  <c:v>53.3</c:v>
                </c:pt>
              </c:numCache>
            </c:numRef>
          </c:val>
        </c:ser>
        <c:ser>
          <c:idx val="1"/>
          <c:order val="1"/>
          <c:tx>
            <c:strRef>
              <c:f>Sheet1!$A$6</c:f>
              <c:strCache>
                <c:ptCount val="1"/>
                <c:pt idx="0">
                  <c:v>Non Communities First</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54.2</c:v>
                </c:pt>
                <c:pt idx="1">
                  <c:v>55.3</c:v>
                </c:pt>
                <c:pt idx="2">
                  <c:v>51.4</c:v>
                </c:pt>
              </c:numCache>
            </c:numRef>
          </c:val>
        </c:ser>
        <c:marker val="1"/>
        <c:axId val="177486464"/>
        <c:axId val="177509120"/>
      </c:lineChart>
      <c:catAx>
        <c:axId val="177486464"/>
        <c:scaling>
          <c:orientation val="minMax"/>
        </c:scaling>
        <c:axPos val="b"/>
        <c:title>
          <c:tx>
            <c:rich>
              <a:bodyPr/>
              <a:lstStyle/>
              <a:p>
                <a:pPr>
                  <a:defRPr/>
                </a:pPr>
                <a:r>
                  <a:rPr lang="en-GB"/>
                  <a:t>Academic</a:t>
                </a:r>
                <a:r>
                  <a:rPr lang="en-GB" baseline="0"/>
                  <a:t> Year</a:t>
                </a:r>
                <a:endParaRPr lang="en-GB"/>
              </a:p>
            </c:rich>
          </c:tx>
        </c:title>
        <c:tickLblPos val="nextTo"/>
        <c:crossAx val="177509120"/>
        <c:crosses val="autoZero"/>
        <c:auto val="1"/>
        <c:lblAlgn val="ctr"/>
        <c:lblOffset val="100"/>
      </c:catAx>
      <c:valAx>
        <c:axId val="177509120"/>
        <c:scaling>
          <c:orientation val="minMax"/>
        </c:scaling>
        <c:axPos val="l"/>
        <c:majorGridlines/>
        <c:title>
          <c:tx>
            <c:rich>
              <a:bodyPr rot="-5400000" vert="horz"/>
              <a:lstStyle/>
              <a:p>
                <a:pPr>
                  <a:defRPr/>
                </a:pPr>
                <a:r>
                  <a:rPr lang="en-GB"/>
                  <a:t>Percentage</a:t>
                </a:r>
                <a:r>
                  <a:rPr lang="en-GB" baseline="0"/>
                  <a:t> %</a:t>
                </a:r>
                <a:endParaRPr lang="en-GB"/>
              </a:p>
            </c:rich>
          </c:tx>
        </c:title>
        <c:numFmt formatCode="General" sourceLinked="1"/>
        <c:tickLblPos val="nextTo"/>
        <c:crossAx val="177486464"/>
        <c:crosses val="autoZero"/>
        <c:crossBetween val="between"/>
      </c:valAx>
    </c:plotArea>
    <c:legend>
      <c:legendPos val="r"/>
    </c:legend>
    <c:plotVisOnly val="1"/>
    <c:dispBlanksAs val="gap"/>
  </c:chart>
  <c:externalData r:id="rId1"/>
</c:chartSpace>
</file>

<file path=word/charts/chart81.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by Communities First Areas (CVP)</a:t>
            </a:r>
            <a:endParaRPr lang="en-GB"/>
          </a:p>
        </c:rich>
      </c:tx>
    </c:title>
    <c:plotArea>
      <c:layout/>
      <c:lineChart>
        <c:grouping val="standard"/>
        <c:ser>
          <c:idx val="0"/>
          <c:order val="0"/>
          <c:tx>
            <c:strRef>
              <c:f>Sheet1!$A$5</c:f>
              <c:strCache>
                <c:ptCount val="1"/>
                <c:pt idx="0">
                  <c:v>Communities First</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34.800000000000004</c:v>
                </c:pt>
                <c:pt idx="1">
                  <c:v>64.599999999999994</c:v>
                </c:pt>
                <c:pt idx="2">
                  <c:v>65.099999999999994</c:v>
                </c:pt>
              </c:numCache>
            </c:numRef>
          </c:val>
        </c:ser>
        <c:ser>
          <c:idx val="1"/>
          <c:order val="1"/>
          <c:tx>
            <c:strRef>
              <c:f>Sheet1!$A$6</c:f>
              <c:strCache>
                <c:ptCount val="1"/>
                <c:pt idx="0">
                  <c:v>Non Communities First</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36.9</c:v>
                </c:pt>
                <c:pt idx="1">
                  <c:v>67.400000000000006</c:v>
                </c:pt>
                <c:pt idx="2">
                  <c:v>71.900000000000006</c:v>
                </c:pt>
              </c:numCache>
            </c:numRef>
          </c:val>
        </c:ser>
        <c:marker val="1"/>
        <c:axId val="177534464"/>
        <c:axId val="177536384"/>
      </c:lineChart>
      <c:catAx>
        <c:axId val="177534464"/>
        <c:scaling>
          <c:orientation val="minMax"/>
        </c:scaling>
        <c:axPos val="b"/>
        <c:title>
          <c:tx>
            <c:rich>
              <a:bodyPr/>
              <a:lstStyle/>
              <a:p>
                <a:pPr>
                  <a:defRPr/>
                </a:pPr>
                <a:r>
                  <a:rPr lang="en-GB"/>
                  <a:t>Academic</a:t>
                </a:r>
                <a:r>
                  <a:rPr lang="en-GB" baseline="0"/>
                  <a:t> Year</a:t>
                </a:r>
                <a:endParaRPr lang="en-GB"/>
              </a:p>
            </c:rich>
          </c:tx>
        </c:title>
        <c:tickLblPos val="nextTo"/>
        <c:crossAx val="177536384"/>
        <c:crosses val="autoZero"/>
        <c:auto val="1"/>
        <c:lblAlgn val="ctr"/>
        <c:lblOffset val="100"/>
      </c:catAx>
      <c:valAx>
        <c:axId val="177536384"/>
        <c:scaling>
          <c:orientation val="minMax"/>
        </c:scaling>
        <c:axPos val="l"/>
        <c:majorGridlines/>
        <c:title>
          <c:tx>
            <c:rich>
              <a:bodyPr rot="-5400000" vert="horz"/>
              <a:lstStyle/>
              <a:p>
                <a:pPr>
                  <a:defRPr/>
                </a:pPr>
                <a:r>
                  <a:rPr lang="en-GB"/>
                  <a:t>Percentage</a:t>
                </a:r>
                <a:r>
                  <a:rPr lang="en-GB" baseline="0"/>
                  <a:t> %</a:t>
                </a:r>
                <a:endParaRPr lang="en-GB"/>
              </a:p>
            </c:rich>
          </c:tx>
        </c:title>
        <c:numFmt formatCode="General" sourceLinked="1"/>
        <c:tickLblPos val="nextTo"/>
        <c:crossAx val="177534464"/>
        <c:crosses val="autoZero"/>
        <c:crossBetween val="between"/>
      </c:valAx>
    </c:plotArea>
    <c:legend>
      <c:legendPos val="r"/>
    </c:legend>
    <c:plotVisOnly val="1"/>
    <c:dispBlanksAs val="gap"/>
  </c:chart>
  <c:externalData r:id="rId1"/>
</c:chartSpace>
</file>

<file path=word/charts/chart82.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by Communities First Areas (ENG)</a:t>
            </a:r>
            <a:endParaRPr lang="en-GB"/>
          </a:p>
        </c:rich>
      </c:tx>
    </c:title>
    <c:plotArea>
      <c:layout/>
      <c:lineChart>
        <c:grouping val="standard"/>
        <c:ser>
          <c:idx val="0"/>
          <c:order val="0"/>
          <c:tx>
            <c:strRef>
              <c:f>Sheet1!$A$5</c:f>
              <c:strCache>
                <c:ptCount val="1"/>
                <c:pt idx="0">
                  <c:v>Communities First</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71.2</c:v>
                </c:pt>
                <c:pt idx="1">
                  <c:v>87.5</c:v>
                </c:pt>
                <c:pt idx="2">
                  <c:v>66.5</c:v>
                </c:pt>
              </c:numCache>
            </c:numRef>
          </c:val>
        </c:ser>
        <c:ser>
          <c:idx val="1"/>
          <c:order val="1"/>
          <c:tx>
            <c:strRef>
              <c:f>Sheet1!$A$6</c:f>
              <c:strCache>
                <c:ptCount val="1"/>
                <c:pt idx="0">
                  <c:v>Non Communities First</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63.1</c:v>
                </c:pt>
                <c:pt idx="1">
                  <c:v>88.5</c:v>
                </c:pt>
                <c:pt idx="2">
                  <c:v>73.5</c:v>
                </c:pt>
              </c:numCache>
            </c:numRef>
          </c:val>
        </c:ser>
        <c:marker val="1"/>
        <c:axId val="177848704"/>
        <c:axId val="177850624"/>
      </c:lineChart>
      <c:catAx>
        <c:axId val="177848704"/>
        <c:scaling>
          <c:orientation val="minMax"/>
        </c:scaling>
        <c:axPos val="b"/>
        <c:title>
          <c:tx>
            <c:rich>
              <a:bodyPr/>
              <a:lstStyle/>
              <a:p>
                <a:pPr>
                  <a:defRPr/>
                </a:pPr>
                <a:r>
                  <a:rPr lang="en-GB"/>
                  <a:t>Academic</a:t>
                </a:r>
                <a:r>
                  <a:rPr lang="en-GB" baseline="0"/>
                  <a:t> Year</a:t>
                </a:r>
                <a:endParaRPr lang="en-GB"/>
              </a:p>
            </c:rich>
          </c:tx>
        </c:title>
        <c:tickLblPos val="nextTo"/>
        <c:crossAx val="177850624"/>
        <c:crosses val="autoZero"/>
        <c:auto val="1"/>
        <c:lblAlgn val="ctr"/>
        <c:lblOffset val="100"/>
      </c:catAx>
      <c:valAx>
        <c:axId val="177850624"/>
        <c:scaling>
          <c:orientation val="minMax"/>
        </c:scaling>
        <c:axPos val="l"/>
        <c:majorGridlines/>
        <c:title>
          <c:tx>
            <c:rich>
              <a:bodyPr rot="-5400000" vert="horz"/>
              <a:lstStyle/>
              <a:p>
                <a:pPr>
                  <a:defRPr/>
                </a:pPr>
                <a:r>
                  <a:rPr lang="en-GB"/>
                  <a:t>Percentage</a:t>
                </a:r>
                <a:r>
                  <a:rPr lang="en-GB" baseline="0"/>
                  <a:t> %</a:t>
                </a:r>
                <a:endParaRPr lang="en-GB"/>
              </a:p>
            </c:rich>
          </c:tx>
        </c:title>
        <c:numFmt formatCode="General" sourceLinked="1"/>
        <c:tickLblPos val="nextTo"/>
        <c:crossAx val="177848704"/>
        <c:crosses val="autoZero"/>
        <c:crossBetween val="between"/>
      </c:valAx>
    </c:plotArea>
    <c:legend>
      <c:legendPos val="r"/>
    </c:legend>
    <c:plotVisOnly val="1"/>
    <c:dispBlanksAs val="gap"/>
  </c:chart>
  <c:externalData r:id="rId1"/>
</c:chartSpace>
</file>

<file path=word/charts/chart83.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by Communities First Areas (Fac6Form)</a:t>
            </a:r>
            <a:endParaRPr lang="en-GB"/>
          </a:p>
        </c:rich>
      </c:tx>
    </c:title>
    <c:plotArea>
      <c:layout/>
      <c:lineChart>
        <c:grouping val="standard"/>
        <c:ser>
          <c:idx val="0"/>
          <c:order val="0"/>
          <c:tx>
            <c:strRef>
              <c:f>Sheet1!$A$5</c:f>
              <c:strCache>
                <c:ptCount val="1"/>
                <c:pt idx="0">
                  <c:v>Communities First</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1">
                  <c:v>78.5</c:v>
                </c:pt>
                <c:pt idx="2">
                  <c:v>67.3</c:v>
                </c:pt>
              </c:numCache>
            </c:numRef>
          </c:val>
        </c:ser>
        <c:ser>
          <c:idx val="1"/>
          <c:order val="1"/>
          <c:tx>
            <c:strRef>
              <c:f>Sheet1!$A$6</c:f>
              <c:strCache>
                <c:ptCount val="1"/>
                <c:pt idx="0">
                  <c:v>Non Communities First</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1">
                  <c:v>76.400000000000006</c:v>
                </c:pt>
                <c:pt idx="2">
                  <c:v>74.400000000000006</c:v>
                </c:pt>
              </c:numCache>
            </c:numRef>
          </c:val>
        </c:ser>
        <c:marker val="1"/>
        <c:axId val="177871872"/>
        <c:axId val="177906816"/>
      </c:lineChart>
      <c:catAx>
        <c:axId val="177871872"/>
        <c:scaling>
          <c:orientation val="minMax"/>
        </c:scaling>
        <c:axPos val="b"/>
        <c:title>
          <c:tx>
            <c:rich>
              <a:bodyPr/>
              <a:lstStyle/>
              <a:p>
                <a:pPr>
                  <a:defRPr/>
                </a:pPr>
                <a:r>
                  <a:rPr lang="en-GB"/>
                  <a:t>Academic</a:t>
                </a:r>
                <a:r>
                  <a:rPr lang="en-GB" baseline="0"/>
                  <a:t> Year</a:t>
                </a:r>
                <a:endParaRPr lang="en-GB"/>
              </a:p>
            </c:rich>
          </c:tx>
        </c:title>
        <c:tickLblPos val="nextTo"/>
        <c:crossAx val="177906816"/>
        <c:crosses val="autoZero"/>
        <c:auto val="1"/>
        <c:lblAlgn val="ctr"/>
        <c:lblOffset val="100"/>
      </c:catAx>
      <c:valAx>
        <c:axId val="177906816"/>
        <c:scaling>
          <c:orientation val="minMax"/>
        </c:scaling>
        <c:axPos val="l"/>
        <c:majorGridlines/>
        <c:title>
          <c:tx>
            <c:rich>
              <a:bodyPr rot="-5400000" vert="horz"/>
              <a:lstStyle/>
              <a:p>
                <a:pPr>
                  <a:defRPr/>
                </a:pPr>
                <a:r>
                  <a:rPr lang="en-GB"/>
                  <a:t>Percentage</a:t>
                </a:r>
                <a:r>
                  <a:rPr lang="en-GB" baseline="0"/>
                  <a:t> %</a:t>
                </a:r>
                <a:endParaRPr lang="en-GB"/>
              </a:p>
            </c:rich>
          </c:tx>
        </c:title>
        <c:numFmt formatCode="General" sourceLinked="1"/>
        <c:tickLblPos val="nextTo"/>
        <c:crossAx val="177871872"/>
        <c:crosses val="autoZero"/>
        <c:crossBetween val="between"/>
      </c:valAx>
    </c:plotArea>
    <c:legend>
      <c:legendPos val="r"/>
    </c:legend>
    <c:plotVisOnly val="1"/>
    <c:dispBlanksAs val="gap"/>
  </c:chart>
  <c:externalData r:id="rId1"/>
</c:chartSpace>
</file>

<file path=word/charts/chart84.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by Communities First Areas (HAT)</a:t>
            </a:r>
            <a:endParaRPr lang="en-GB"/>
          </a:p>
        </c:rich>
      </c:tx>
    </c:title>
    <c:plotArea>
      <c:layout/>
      <c:lineChart>
        <c:grouping val="standard"/>
        <c:ser>
          <c:idx val="0"/>
          <c:order val="0"/>
          <c:tx>
            <c:strRef>
              <c:f>Sheet1!$A$5</c:f>
              <c:strCache>
                <c:ptCount val="1"/>
                <c:pt idx="0">
                  <c:v>Communities First</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64.599999999999994</c:v>
                </c:pt>
                <c:pt idx="1">
                  <c:v>78.3</c:v>
                </c:pt>
                <c:pt idx="2">
                  <c:v>75.5</c:v>
                </c:pt>
              </c:numCache>
            </c:numRef>
          </c:val>
        </c:ser>
        <c:ser>
          <c:idx val="1"/>
          <c:order val="1"/>
          <c:tx>
            <c:strRef>
              <c:f>Sheet1!$A$6</c:f>
              <c:strCache>
                <c:ptCount val="1"/>
                <c:pt idx="0">
                  <c:v>Non Communities First</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63.7</c:v>
                </c:pt>
                <c:pt idx="1">
                  <c:v>78.3</c:v>
                </c:pt>
                <c:pt idx="2">
                  <c:v>74.900000000000006</c:v>
                </c:pt>
              </c:numCache>
            </c:numRef>
          </c:val>
        </c:ser>
        <c:marker val="1"/>
        <c:axId val="177936256"/>
        <c:axId val="177946624"/>
      </c:lineChart>
      <c:catAx>
        <c:axId val="177936256"/>
        <c:scaling>
          <c:orientation val="minMax"/>
        </c:scaling>
        <c:axPos val="b"/>
        <c:title>
          <c:tx>
            <c:rich>
              <a:bodyPr/>
              <a:lstStyle/>
              <a:p>
                <a:pPr>
                  <a:defRPr/>
                </a:pPr>
                <a:r>
                  <a:rPr lang="en-GB"/>
                  <a:t>Academic</a:t>
                </a:r>
                <a:r>
                  <a:rPr lang="en-GB" baseline="0"/>
                  <a:t> Year</a:t>
                </a:r>
                <a:endParaRPr lang="en-GB"/>
              </a:p>
            </c:rich>
          </c:tx>
        </c:title>
        <c:tickLblPos val="nextTo"/>
        <c:crossAx val="177946624"/>
        <c:crosses val="autoZero"/>
        <c:auto val="1"/>
        <c:lblAlgn val="ctr"/>
        <c:lblOffset val="100"/>
      </c:catAx>
      <c:valAx>
        <c:axId val="177946624"/>
        <c:scaling>
          <c:orientation val="minMax"/>
        </c:scaling>
        <c:axPos val="l"/>
        <c:majorGridlines/>
        <c:title>
          <c:tx>
            <c:rich>
              <a:bodyPr rot="-5400000" vert="horz"/>
              <a:lstStyle/>
              <a:p>
                <a:pPr>
                  <a:defRPr/>
                </a:pPr>
                <a:r>
                  <a:rPr lang="en-GB"/>
                  <a:t>Percentage</a:t>
                </a:r>
                <a:r>
                  <a:rPr lang="en-GB" baseline="0"/>
                  <a:t> %</a:t>
                </a:r>
                <a:endParaRPr lang="en-GB"/>
              </a:p>
            </c:rich>
          </c:tx>
        </c:title>
        <c:numFmt formatCode="General" sourceLinked="1"/>
        <c:tickLblPos val="nextTo"/>
        <c:crossAx val="177936256"/>
        <c:crosses val="autoZero"/>
        <c:crossBetween val="between"/>
      </c:valAx>
    </c:plotArea>
    <c:legend>
      <c:legendPos val="r"/>
    </c:legend>
    <c:plotVisOnly val="1"/>
    <c:dispBlanksAs val="gap"/>
  </c:chart>
  <c:externalData r:id="rId1"/>
</c:chartSpace>
</file>

<file path=word/charts/chart85.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by Communities First Areas (HSC)</a:t>
            </a:r>
            <a:endParaRPr lang="en-GB"/>
          </a:p>
        </c:rich>
      </c:tx>
    </c:title>
    <c:plotArea>
      <c:layout/>
      <c:lineChart>
        <c:grouping val="standard"/>
        <c:ser>
          <c:idx val="0"/>
          <c:order val="0"/>
          <c:tx>
            <c:strRef>
              <c:f>Sheet1!$A$5</c:f>
              <c:strCache>
                <c:ptCount val="1"/>
                <c:pt idx="0">
                  <c:v>Communities First</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69.5</c:v>
                </c:pt>
                <c:pt idx="1">
                  <c:v>79.599999999999994</c:v>
                </c:pt>
                <c:pt idx="2">
                  <c:v>70.3</c:v>
                </c:pt>
              </c:numCache>
            </c:numRef>
          </c:val>
        </c:ser>
        <c:ser>
          <c:idx val="1"/>
          <c:order val="1"/>
          <c:tx>
            <c:strRef>
              <c:f>Sheet1!$A$6</c:f>
              <c:strCache>
                <c:ptCount val="1"/>
                <c:pt idx="0">
                  <c:v>Non Communities First</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69.400000000000006</c:v>
                </c:pt>
                <c:pt idx="1">
                  <c:v>74</c:v>
                </c:pt>
                <c:pt idx="2">
                  <c:v>63.5</c:v>
                </c:pt>
              </c:numCache>
            </c:numRef>
          </c:val>
        </c:ser>
        <c:marker val="1"/>
        <c:axId val="178008832"/>
        <c:axId val="178010752"/>
      </c:lineChart>
      <c:catAx>
        <c:axId val="178008832"/>
        <c:scaling>
          <c:orientation val="minMax"/>
        </c:scaling>
        <c:axPos val="b"/>
        <c:title>
          <c:tx>
            <c:rich>
              <a:bodyPr/>
              <a:lstStyle/>
              <a:p>
                <a:pPr>
                  <a:defRPr/>
                </a:pPr>
                <a:r>
                  <a:rPr lang="en-GB"/>
                  <a:t>Academic</a:t>
                </a:r>
                <a:r>
                  <a:rPr lang="en-GB" baseline="0"/>
                  <a:t> Year</a:t>
                </a:r>
                <a:endParaRPr lang="en-GB"/>
              </a:p>
            </c:rich>
          </c:tx>
        </c:title>
        <c:tickLblPos val="nextTo"/>
        <c:crossAx val="178010752"/>
        <c:crosses val="autoZero"/>
        <c:auto val="1"/>
        <c:lblAlgn val="ctr"/>
        <c:lblOffset val="100"/>
      </c:catAx>
      <c:valAx>
        <c:axId val="178010752"/>
        <c:scaling>
          <c:orientation val="minMax"/>
        </c:scaling>
        <c:axPos val="l"/>
        <c:majorGridlines/>
        <c:title>
          <c:tx>
            <c:rich>
              <a:bodyPr rot="-5400000" vert="horz"/>
              <a:lstStyle/>
              <a:p>
                <a:pPr>
                  <a:defRPr/>
                </a:pPr>
                <a:r>
                  <a:rPr lang="en-GB"/>
                  <a:t>Percentage</a:t>
                </a:r>
                <a:r>
                  <a:rPr lang="en-GB" baseline="0"/>
                  <a:t> %</a:t>
                </a:r>
                <a:endParaRPr lang="en-GB"/>
              </a:p>
            </c:rich>
          </c:tx>
        </c:title>
        <c:numFmt formatCode="General" sourceLinked="1"/>
        <c:tickLblPos val="nextTo"/>
        <c:crossAx val="178008832"/>
        <c:crosses val="autoZero"/>
        <c:crossBetween val="between"/>
      </c:valAx>
    </c:plotArea>
    <c:legend>
      <c:legendPos val="r"/>
    </c:legend>
    <c:plotVisOnly val="1"/>
    <c:dispBlanksAs val="gap"/>
  </c:chart>
  <c:externalData r:id="rId1"/>
</c:chartSpace>
</file>

<file path=word/charts/chart86.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by Communities First Areas (IBC)</a:t>
            </a:r>
            <a:endParaRPr lang="en-GB"/>
          </a:p>
        </c:rich>
      </c:tx>
    </c:title>
    <c:plotArea>
      <c:layout/>
      <c:lineChart>
        <c:grouping val="standard"/>
        <c:ser>
          <c:idx val="0"/>
          <c:order val="0"/>
          <c:tx>
            <c:strRef>
              <c:f>Sheet1!$A$5</c:f>
              <c:strCache>
                <c:ptCount val="1"/>
                <c:pt idx="0">
                  <c:v>Communities First</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89.6</c:v>
                </c:pt>
                <c:pt idx="1">
                  <c:v>77.3</c:v>
                </c:pt>
                <c:pt idx="2">
                  <c:v>95.7</c:v>
                </c:pt>
              </c:numCache>
            </c:numRef>
          </c:val>
        </c:ser>
        <c:ser>
          <c:idx val="1"/>
          <c:order val="1"/>
          <c:tx>
            <c:strRef>
              <c:f>Sheet1!$A$6</c:f>
              <c:strCache>
                <c:ptCount val="1"/>
                <c:pt idx="0">
                  <c:v>Non Communities First</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88.3</c:v>
                </c:pt>
                <c:pt idx="1">
                  <c:v>75.099999999999994</c:v>
                </c:pt>
                <c:pt idx="2">
                  <c:v>93.2</c:v>
                </c:pt>
              </c:numCache>
            </c:numRef>
          </c:val>
        </c:ser>
        <c:marker val="1"/>
        <c:axId val="178036096"/>
        <c:axId val="178058752"/>
      </c:lineChart>
      <c:catAx>
        <c:axId val="178036096"/>
        <c:scaling>
          <c:orientation val="minMax"/>
        </c:scaling>
        <c:axPos val="b"/>
        <c:title>
          <c:tx>
            <c:rich>
              <a:bodyPr/>
              <a:lstStyle/>
              <a:p>
                <a:pPr>
                  <a:defRPr/>
                </a:pPr>
                <a:r>
                  <a:rPr lang="en-GB"/>
                  <a:t>Academic</a:t>
                </a:r>
                <a:r>
                  <a:rPr lang="en-GB" baseline="0"/>
                  <a:t> Year</a:t>
                </a:r>
                <a:endParaRPr lang="en-GB"/>
              </a:p>
            </c:rich>
          </c:tx>
        </c:title>
        <c:tickLblPos val="nextTo"/>
        <c:crossAx val="178058752"/>
        <c:crosses val="autoZero"/>
        <c:auto val="1"/>
        <c:lblAlgn val="ctr"/>
        <c:lblOffset val="100"/>
      </c:catAx>
      <c:valAx>
        <c:axId val="178058752"/>
        <c:scaling>
          <c:orientation val="minMax"/>
        </c:scaling>
        <c:axPos val="l"/>
        <c:majorGridlines/>
        <c:title>
          <c:tx>
            <c:rich>
              <a:bodyPr rot="-5400000" vert="horz"/>
              <a:lstStyle/>
              <a:p>
                <a:pPr>
                  <a:defRPr/>
                </a:pPr>
                <a:r>
                  <a:rPr lang="en-GB"/>
                  <a:t>Percentage</a:t>
                </a:r>
                <a:r>
                  <a:rPr lang="en-GB" baseline="0"/>
                  <a:t> %</a:t>
                </a:r>
                <a:endParaRPr lang="en-GB"/>
              </a:p>
            </c:rich>
          </c:tx>
        </c:title>
        <c:numFmt formatCode="General" sourceLinked="1"/>
        <c:tickLblPos val="nextTo"/>
        <c:crossAx val="178036096"/>
        <c:crosses val="autoZero"/>
        <c:crossBetween val="between"/>
      </c:valAx>
    </c:plotArea>
    <c:legend>
      <c:legendPos val="r"/>
    </c:legend>
    <c:plotVisOnly val="1"/>
    <c:dispBlanksAs val="gap"/>
  </c:chart>
  <c:externalData r:id="rId1"/>
</c:chartSpace>
</file>

<file path=word/charts/chart87.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by Communities First Areas (IES)</a:t>
            </a:r>
            <a:endParaRPr lang="en-GB"/>
          </a:p>
        </c:rich>
      </c:tx>
    </c:title>
    <c:plotArea>
      <c:layout/>
      <c:lineChart>
        <c:grouping val="standard"/>
        <c:ser>
          <c:idx val="0"/>
          <c:order val="0"/>
          <c:tx>
            <c:strRef>
              <c:f>Sheet1!$A$5</c:f>
              <c:strCache>
                <c:ptCount val="1"/>
                <c:pt idx="0">
                  <c:v>Communities First</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22.7</c:v>
                </c:pt>
                <c:pt idx="1">
                  <c:v>52.2</c:v>
                </c:pt>
                <c:pt idx="2">
                  <c:v>100</c:v>
                </c:pt>
              </c:numCache>
            </c:numRef>
          </c:val>
        </c:ser>
        <c:ser>
          <c:idx val="1"/>
          <c:order val="1"/>
          <c:tx>
            <c:strRef>
              <c:f>Sheet1!$A$6</c:f>
              <c:strCache>
                <c:ptCount val="1"/>
                <c:pt idx="0">
                  <c:v>Non Communities First</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26</c:v>
                </c:pt>
                <c:pt idx="1">
                  <c:v>53.2</c:v>
                </c:pt>
                <c:pt idx="2">
                  <c:v>100</c:v>
                </c:pt>
              </c:numCache>
            </c:numRef>
          </c:val>
        </c:ser>
        <c:marker val="1"/>
        <c:axId val="178096384"/>
        <c:axId val="178110848"/>
      </c:lineChart>
      <c:catAx>
        <c:axId val="178096384"/>
        <c:scaling>
          <c:orientation val="minMax"/>
        </c:scaling>
        <c:axPos val="b"/>
        <c:title>
          <c:tx>
            <c:rich>
              <a:bodyPr/>
              <a:lstStyle/>
              <a:p>
                <a:pPr>
                  <a:defRPr/>
                </a:pPr>
                <a:r>
                  <a:rPr lang="en-GB"/>
                  <a:t>Academic</a:t>
                </a:r>
                <a:r>
                  <a:rPr lang="en-GB" baseline="0"/>
                  <a:t> Year</a:t>
                </a:r>
                <a:endParaRPr lang="en-GB"/>
              </a:p>
            </c:rich>
          </c:tx>
        </c:title>
        <c:tickLblPos val="nextTo"/>
        <c:crossAx val="178110848"/>
        <c:crosses val="autoZero"/>
        <c:auto val="1"/>
        <c:lblAlgn val="ctr"/>
        <c:lblOffset val="100"/>
      </c:catAx>
      <c:valAx>
        <c:axId val="178110848"/>
        <c:scaling>
          <c:orientation val="minMax"/>
        </c:scaling>
        <c:axPos val="l"/>
        <c:majorGridlines/>
        <c:title>
          <c:tx>
            <c:rich>
              <a:bodyPr rot="-5400000" vert="horz"/>
              <a:lstStyle/>
              <a:p>
                <a:pPr>
                  <a:defRPr/>
                </a:pPr>
                <a:r>
                  <a:rPr lang="en-GB"/>
                  <a:t>Percentage</a:t>
                </a:r>
                <a:r>
                  <a:rPr lang="en-GB" baseline="0"/>
                  <a:t> %</a:t>
                </a:r>
                <a:endParaRPr lang="en-GB"/>
              </a:p>
            </c:rich>
          </c:tx>
        </c:title>
        <c:numFmt formatCode="General" sourceLinked="1"/>
        <c:tickLblPos val="nextTo"/>
        <c:crossAx val="178096384"/>
        <c:crosses val="autoZero"/>
        <c:crossBetween val="between"/>
      </c:valAx>
    </c:plotArea>
    <c:legend>
      <c:legendPos val="r"/>
    </c:legend>
    <c:plotVisOnly val="1"/>
    <c:dispBlanksAs val="gap"/>
  </c:chart>
  <c:externalData r:id="rId1"/>
</c:chartSpace>
</file>

<file path=word/charts/chart88.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by Communities First Areas (MAS)</a:t>
            </a:r>
            <a:endParaRPr lang="en-GB"/>
          </a:p>
        </c:rich>
      </c:tx>
    </c:title>
    <c:plotArea>
      <c:layout/>
      <c:lineChart>
        <c:grouping val="standard"/>
        <c:ser>
          <c:idx val="0"/>
          <c:order val="0"/>
          <c:tx>
            <c:strRef>
              <c:f>Sheet1!$A$5</c:f>
              <c:strCache>
                <c:ptCount val="1"/>
                <c:pt idx="0">
                  <c:v>Communities First</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53.2</c:v>
                </c:pt>
                <c:pt idx="1">
                  <c:v>62.9</c:v>
                </c:pt>
                <c:pt idx="2">
                  <c:v>51.7</c:v>
                </c:pt>
              </c:numCache>
            </c:numRef>
          </c:val>
        </c:ser>
        <c:ser>
          <c:idx val="1"/>
          <c:order val="1"/>
          <c:tx>
            <c:strRef>
              <c:f>Sheet1!$A$6</c:f>
              <c:strCache>
                <c:ptCount val="1"/>
                <c:pt idx="0">
                  <c:v>Non Communities First</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59</c:v>
                </c:pt>
                <c:pt idx="1">
                  <c:v>55.7</c:v>
                </c:pt>
                <c:pt idx="2">
                  <c:v>51.2</c:v>
                </c:pt>
              </c:numCache>
            </c:numRef>
          </c:val>
        </c:ser>
        <c:marker val="1"/>
        <c:axId val="178472064"/>
        <c:axId val="178473984"/>
      </c:lineChart>
      <c:catAx>
        <c:axId val="178472064"/>
        <c:scaling>
          <c:orientation val="minMax"/>
        </c:scaling>
        <c:axPos val="b"/>
        <c:title>
          <c:tx>
            <c:rich>
              <a:bodyPr/>
              <a:lstStyle/>
              <a:p>
                <a:pPr>
                  <a:defRPr/>
                </a:pPr>
                <a:r>
                  <a:rPr lang="en-GB"/>
                  <a:t>Academic</a:t>
                </a:r>
                <a:r>
                  <a:rPr lang="en-GB" baseline="0"/>
                  <a:t> Year</a:t>
                </a:r>
                <a:endParaRPr lang="en-GB"/>
              </a:p>
            </c:rich>
          </c:tx>
        </c:title>
        <c:tickLblPos val="nextTo"/>
        <c:crossAx val="178473984"/>
        <c:crosses val="autoZero"/>
        <c:auto val="1"/>
        <c:lblAlgn val="ctr"/>
        <c:lblOffset val="100"/>
      </c:catAx>
      <c:valAx>
        <c:axId val="178473984"/>
        <c:scaling>
          <c:orientation val="minMax"/>
        </c:scaling>
        <c:axPos val="l"/>
        <c:majorGridlines/>
        <c:title>
          <c:tx>
            <c:rich>
              <a:bodyPr rot="-5400000" vert="horz"/>
              <a:lstStyle/>
              <a:p>
                <a:pPr>
                  <a:defRPr/>
                </a:pPr>
                <a:r>
                  <a:rPr lang="en-GB"/>
                  <a:t>Percentage</a:t>
                </a:r>
                <a:r>
                  <a:rPr lang="en-GB" baseline="0"/>
                  <a:t> %</a:t>
                </a:r>
                <a:endParaRPr lang="en-GB"/>
              </a:p>
            </c:rich>
          </c:tx>
        </c:title>
        <c:numFmt formatCode="General" sourceLinked="1"/>
        <c:tickLblPos val="nextTo"/>
        <c:crossAx val="178472064"/>
        <c:crosses val="autoZero"/>
        <c:crossBetween val="between"/>
      </c:valAx>
    </c:plotArea>
    <c:legend>
      <c:legendPos val="r"/>
    </c:legend>
    <c:plotVisOnly val="1"/>
    <c:dispBlanksAs val="gap"/>
  </c:chart>
  <c:externalData r:id="rId1"/>
</c:chartSpace>
</file>

<file path=word/charts/chart89.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by Communities First Areas (PVS)</a:t>
            </a:r>
            <a:endParaRPr lang="en-GB"/>
          </a:p>
        </c:rich>
      </c:tx>
    </c:title>
    <c:plotArea>
      <c:layout/>
      <c:lineChart>
        <c:grouping val="standard"/>
        <c:ser>
          <c:idx val="0"/>
          <c:order val="0"/>
          <c:tx>
            <c:strRef>
              <c:f>Sheet1!$A$5</c:f>
              <c:strCache>
                <c:ptCount val="1"/>
                <c:pt idx="0">
                  <c:v>Communities First</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66.7</c:v>
                </c:pt>
                <c:pt idx="1">
                  <c:v>81.099999999999994</c:v>
                </c:pt>
                <c:pt idx="2">
                  <c:v>89</c:v>
                </c:pt>
              </c:numCache>
            </c:numRef>
          </c:val>
        </c:ser>
        <c:ser>
          <c:idx val="1"/>
          <c:order val="1"/>
          <c:tx>
            <c:strRef>
              <c:f>Sheet1!$A$6</c:f>
              <c:strCache>
                <c:ptCount val="1"/>
                <c:pt idx="0">
                  <c:v>Non Communities First</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71</c:v>
                </c:pt>
                <c:pt idx="1">
                  <c:v>83.1</c:v>
                </c:pt>
                <c:pt idx="2">
                  <c:v>88.6</c:v>
                </c:pt>
              </c:numCache>
            </c:numRef>
          </c:val>
        </c:ser>
        <c:marker val="1"/>
        <c:axId val="178532352"/>
        <c:axId val="178534272"/>
      </c:lineChart>
      <c:catAx>
        <c:axId val="178532352"/>
        <c:scaling>
          <c:orientation val="minMax"/>
        </c:scaling>
        <c:axPos val="b"/>
        <c:title>
          <c:tx>
            <c:rich>
              <a:bodyPr/>
              <a:lstStyle/>
              <a:p>
                <a:pPr>
                  <a:defRPr/>
                </a:pPr>
                <a:r>
                  <a:rPr lang="en-GB"/>
                  <a:t>Academic</a:t>
                </a:r>
                <a:r>
                  <a:rPr lang="en-GB" baseline="0"/>
                  <a:t> Year</a:t>
                </a:r>
                <a:endParaRPr lang="en-GB"/>
              </a:p>
            </c:rich>
          </c:tx>
        </c:title>
        <c:tickLblPos val="nextTo"/>
        <c:crossAx val="178534272"/>
        <c:crosses val="autoZero"/>
        <c:auto val="1"/>
        <c:lblAlgn val="ctr"/>
        <c:lblOffset val="100"/>
      </c:catAx>
      <c:valAx>
        <c:axId val="178534272"/>
        <c:scaling>
          <c:orientation val="minMax"/>
        </c:scaling>
        <c:axPos val="l"/>
        <c:majorGridlines/>
        <c:title>
          <c:tx>
            <c:rich>
              <a:bodyPr rot="-5400000" vert="horz"/>
              <a:lstStyle/>
              <a:p>
                <a:pPr>
                  <a:defRPr/>
                </a:pPr>
                <a:r>
                  <a:rPr lang="en-GB"/>
                  <a:t>Percentage</a:t>
                </a:r>
                <a:r>
                  <a:rPr lang="en-GB" baseline="0"/>
                  <a:t> %</a:t>
                </a:r>
                <a:endParaRPr lang="en-GB"/>
              </a:p>
            </c:rich>
          </c:tx>
        </c:title>
        <c:numFmt formatCode="General" sourceLinked="1"/>
        <c:tickLblPos val="nextTo"/>
        <c:crossAx val="178532352"/>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Gender</a:t>
            </a:r>
            <a:r>
              <a:rPr lang="en-GB" baseline="0"/>
              <a:t> Success Rates by School 2009-2010</a:t>
            </a:r>
            <a:endParaRPr lang="en-GB"/>
          </a:p>
        </c:rich>
      </c:tx>
    </c:title>
    <c:view3D>
      <c:rAngAx val="1"/>
    </c:view3D>
    <c:plotArea>
      <c:layout/>
      <c:bar3DChart>
        <c:barDir val="bar"/>
        <c:grouping val="clustered"/>
        <c:ser>
          <c:idx val="0"/>
          <c:order val="0"/>
          <c:tx>
            <c:strRef>
              <c:f>Sheet1!$C$1</c:f>
              <c:strCache>
                <c:ptCount val="1"/>
                <c:pt idx="0">
                  <c:v>Males</c:v>
                </c:pt>
              </c:strCache>
            </c:strRef>
          </c:tx>
          <c:cat>
            <c:strRef>
              <c:f>Sheet1!$B$2:$B$20</c:f>
              <c:strCache>
                <c:ptCount val="19"/>
                <c:pt idx="0">
                  <c:v>ACE</c:v>
                </c:pt>
                <c:pt idx="1">
                  <c:v>AE</c:v>
                </c:pt>
                <c:pt idx="2">
                  <c:v>BES</c:v>
                </c:pt>
                <c:pt idx="3">
                  <c:v>CBE</c:v>
                </c:pt>
                <c:pt idx="4">
                  <c:v>BTH</c:v>
                </c:pt>
                <c:pt idx="5">
                  <c:v>CIT</c:v>
                </c:pt>
                <c:pt idx="6">
                  <c:v>CVP</c:v>
                </c:pt>
                <c:pt idx="7">
                  <c:v>ENG</c:v>
                </c:pt>
                <c:pt idx="8">
                  <c:v>FAC6FORM</c:v>
                </c:pt>
                <c:pt idx="9">
                  <c:v>HAT</c:v>
                </c:pt>
                <c:pt idx="10">
                  <c:v>HSC</c:v>
                </c:pt>
                <c:pt idx="11">
                  <c:v>PWT</c:v>
                </c:pt>
                <c:pt idx="12">
                  <c:v>IBC</c:v>
                </c:pt>
                <c:pt idx="13">
                  <c:v>IES</c:v>
                </c:pt>
                <c:pt idx="14">
                  <c:v>MAS</c:v>
                </c:pt>
                <c:pt idx="15">
                  <c:v>PVS</c:v>
                </c:pt>
                <c:pt idx="16">
                  <c:v>SPS</c:v>
                </c:pt>
                <c:pt idx="17">
                  <c:v>SSL</c:v>
                </c:pt>
                <c:pt idx="18">
                  <c:v>UFI</c:v>
                </c:pt>
              </c:strCache>
            </c:strRef>
          </c:cat>
          <c:val>
            <c:numRef>
              <c:f>Sheet1!$C$2:$C$20</c:f>
              <c:numCache>
                <c:formatCode>0.0%</c:formatCode>
                <c:ptCount val="19"/>
                <c:pt idx="0">
                  <c:v>0.76500000000000323</c:v>
                </c:pt>
                <c:pt idx="1">
                  <c:v>0.87300000000000288</c:v>
                </c:pt>
                <c:pt idx="2">
                  <c:v>0.84200000000000064</c:v>
                </c:pt>
                <c:pt idx="3">
                  <c:v>0.77500000000000335</c:v>
                </c:pt>
                <c:pt idx="4">
                  <c:v>0.74100000000000288</c:v>
                </c:pt>
                <c:pt idx="5">
                  <c:v>0.55200000000000005</c:v>
                </c:pt>
                <c:pt idx="6">
                  <c:v>0.65100000000000346</c:v>
                </c:pt>
                <c:pt idx="7">
                  <c:v>0.71300000000000063</c:v>
                </c:pt>
                <c:pt idx="8">
                  <c:v>0.70500000000000063</c:v>
                </c:pt>
                <c:pt idx="9">
                  <c:v>0.68500000000000005</c:v>
                </c:pt>
                <c:pt idx="10">
                  <c:v>0.56399999999999995</c:v>
                </c:pt>
                <c:pt idx="12">
                  <c:v>0.93500000000000005</c:v>
                </c:pt>
                <c:pt idx="13">
                  <c:v>1</c:v>
                </c:pt>
                <c:pt idx="14">
                  <c:v>0.47700000000000031</c:v>
                </c:pt>
                <c:pt idx="15">
                  <c:v>0.9</c:v>
                </c:pt>
                <c:pt idx="16">
                  <c:v>0.76700000000000323</c:v>
                </c:pt>
                <c:pt idx="17">
                  <c:v>0.80400000000000005</c:v>
                </c:pt>
                <c:pt idx="18">
                  <c:v>0.875000000000003</c:v>
                </c:pt>
              </c:numCache>
            </c:numRef>
          </c:val>
        </c:ser>
        <c:ser>
          <c:idx val="1"/>
          <c:order val="1"/>
          <c:tx>
            <c:strRef>
              <c:f>Sheet1!$D$1</c:f>
              <c:strCache>
                <c:ptCount val="1"/>
                <c:pt idx="0">
                  <c:v>Females</c:v>
                </c:pt>
              </c:strCache>
            </c:strRef>
          </c:tx>
          <c:cat>
            <c:strRef>
              <c:f>Sheet1!$B$2:$B$20</c:f>
              <c:strCache>
                <c:ptCount val="19"/>
                <c:pt idx="0">
                  <c:v>ACE</c:v>
                </c:pt>
                <c:pt idx="1">
                  <c:v>AE</c:v>
                </c:pt>
                <c:pt idx="2">
                  <c:v>BES</c:v>
                </c:pt>
                <c:pt idx="3">
                  <c:v>CBE</c:v>
                </c:pt>
                <c:pt idx="4">
                  <c:v>BTH</c:v>
                </c:pt>
                <c:pt idx="5">
                  <c:v>CIT</c:v>
                </c:pt>
                <c:pt idx="6">
                  <c:v>CVP</c:v>
                </c:pt>
                <c:pt idx="7">
                  <c:v>ENG</c:v>
                </c:pt>
                <c:pt idx="8">
                  <c:v>FAC6FORM</c:v>
                </c:pt>
                <c:pt idx="9">
                  <c:v>HAT</c:v>
                </c:pt>
                <c:pt idx="10">
                  <c:v>HSC</c:v>
                </c:pt>
                <c:pt idx="11">
                  <c:v>PWT</c:v>
                </c:pt>
                <c:pt idx="12">
                  <c:v>IBC</c:v>
                </c:pt>
                <c:pt idx="13">
                  <c:v>IES</c:v>
                </c:pt>
                <c:pt idx="14">
                  <c:v>MAS</c:v>
                </c:pt>
                <c:pt idx="15">
                  <c:v>PVS</c:v>
                </c:pt>
                <c:pt idx="16">
                  <c:v>SPS</c:v>
                </c:pt>
                <c:pt idx="17">
                  <c:v>SSL</c:v>
                </c:pt>
                <c:pt idx="18">
                  <c:v>UFI</c:v>
                </c:pt>
              </c:strCache>
            </c:strRef>
          </c:cat>
          <c:val>
            <c:numRef>
              <c:f>Sheet1!$D$2:$D$20</c:f>
              <c:numCache>
                <c:formatCode>0.0%</c:formatCode>
                <c:ptCount val="19"/>
                <c:pt idx="0">
                  <c:v>0.77500000000000335</c:v>
                </c:pt>
                <c:pt idx="1">
                  <c:v>0.83600000000000063</c:v>
                </c:pt>
                <c:pt idx="2">
                  <c:v>0.94699999999999995</c:v>
                </c:pt>
                <c:pt idx="3">
                  <c:v>0.66300000000000381</c:v>
                </c:pt>
                <c:pt idx="4">
                  <c:v>0.67600000000000382</c:v>
                </c:pt>
                <c:pt idx="5">
                  <c:v>0.44900000000000001</c:v>
                </c:pt>
                <c:pt idx="6">
                  <c:v>0.72300000000000064</c:v>
                </c:pt>
                <c:pt idx="7">
                  <c:v>0.61500000000000288</c:v>
                </c:pt>
                <c:pt idx="8">
                  <c:v>0.74500000000000288</c:v>
                </c:pt>
                <c:pt idx="9">
                  <c:v>0.76100000000000323</c:v>
                </c:pt>
                <c:pt idx="10">
                  <c:v>0.67600000000000382</c:v>
                </c:pt>
                <c:pt idx="11">
                  <c:v>1</c:v>
                </c:pt>
                <c:pt idx="12">
                  <c:v>0.95100000000000062</c:v>
                </c:pt>
                <c:pt idx="13">
                  <c:v>1</c:v>
                </c:pt>
                <c:pt idx="14">
                  <c:v>0.56799999999999995</c:v>
                </c:pt>
                <c:pt idx="15">
                  <c:v>0.87600000000000311</c:v>
                </c:pt>
                <c:pt idx="16">
                  <c:v>0.72700000000000065</c:v>
                </c:pt>
                <c:pt idx="17">
                  <c:v>0.73100000000000065</c:v>
                </c:pt>
                <c:pt idx="18">
                  <c:v>0.7780000000000038</c:v>
                </c:pt>
              </c:numCache>
            </c:numRef>
          </c:val>
        </c:ser>
        <c:shape val="box"/>
        <c:axId val="91656192"/>
        <c:axId val="91658112"/>
        <c:axId val="0"/>
      </c:bar3DChart>
      <c:catAx>
        <c:axId val="91656192"/>
        <c:scaling>
          <c:orientation val="minMax"/>
        </c:scaling>
        <c:axPos val="l"/>
        <c:title>
          <c:tx>
            <c:rich>
              <a:bodyPr rot="-5400000" vert="horz"/>
              <a:lstStyle/>
              <a:p>
                <a:pPr>
                  <a:defRPr/>
                </a:pPr>
                <a:r>
                  <a:rPr lang="en-GB"/>
                  <a:t>School</a:t>
                </a:r>
              </a:p>
            </c:rich>
          </c:tx>
        </c:title>
        <c:tickLblPos val="nextTo"/>
        <c:crossAx val="91658112"/>
        <c:crosses val="autoZero"/>
        <c:auto val="1"/>
        <c:lblAlgn val="ctr"/>
        <c:lblOffset val="100"/>
      </c:catAx>
      <c:valAx>
        <c:axId val="91658112"/>
        <c:scaling>
          <c:orientation val="minMax"/>
        </c:scaling>
        <c:axPos val="b"/>
        <c:majorGridlines/>
        <c:title>
          <c:tx>
            <c:rich>
              <a:bodyPr/>
              <a:lstStyle/>
              <a:p>
                <a:pPr>
                  <a:defRPr/>
                </a:pPr>
                <a:r>
                  <a:rPr lang="en-GB"/>
                  <a:t>Success %</a:t>
                </a:r>
              </a:p>
            </c:rich>
          </c:tx>
        </c:title>
        <c:numFmt formatCode="0.0%" sourceLinked="1"/>
        <c:tickLblPos val="nextTo"/>
        <c:crossAx val="91656192"/>
        <c:crosses val="autoZero"/>
        <c:crossBetween val="between"/>
      </c:valAx>
    </c:plotArea>
    <c:legend>
      <c:legendPos val="r"/>
    </c:legend>
    <c:plotVisOnly val="1"/>
    <c:dispBlanksAs val="gap"/>
  </c:chart>
  <c:externalData r:id="rId1"/>
</c:chartSpace>
</file>

<file path=word/charts/chart90.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by Communities First Areas (SPS)</a:t>
            </a:r>
            <a:endParaRPr lang="en-GB"/>
          </a:p>
        </c:rich>
      </c:tx>
    </c:title>
    <c:plotArea>
      <c:layout/>
      <c:lineChart>
        <c:grouping val="standard"/>
        <c:ser>
          <c:idx val="0"/>
          <c:order val="0"/>
          <c:tx>
            <c:strRef>
              <c:f>Sheet1!$A$5</c:f>
              <c:strCache>
                <c:ptCount val="1"/>
                <c:pt idx="0">
                  <c:v>Communities First</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69.2</c:v>
                </c:pt>
                <c:pt idx="1">
                  <c:v>74.8</c:v>
                </c:pt>
                <c:pt idx="2">
                  <c:v>76.8</c:v>
                </c:pt>
              </c:numCache>
            </c:numRef>
          </c:val>
        </c:ser>
        <c:ser>
          <c:idx val="1"/>
          <c:order val="1"/>
          <c:tx>
            <c:strRef>
              <c:f>Sheet1!$A$6</c:f>
              <c:strCache>
                <c:ptCount val="1"/>
                <c:pt idx="0">
                  <c:v>Non Communities First</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75.099999999999994</c:v>
                </c:pt>
                <c:pt idx="1">
                  <c:v>80.7</c:v>
                </c:pt>
                <c:pt idx="2">
                  <c:v>75.3</c:v>
                </c:pt>
              </c:numCache>
            </c:numRef>
          </c:val>
        </c:ser>
        <c:marker val="1"/>
        <c:axId val="178596480"/>
        <c:axId val="178619136"/>
      </c:lineChart>
      <c:catAx>
        <c:axId val="178596480"/>
        <c:scaling>
          <c:orientation val="minMax"/>
        </c:scaling>
        <c:axPos val="b"/>
        <c:title>
          <c:tx>
            <c:rich>
              <a:bodyPr/>
              <a:lstStyle/>
              <a:p>
                <a:pPr>
                  <a:defRPr/>
                </a:pPr>
                <a:r>
                  <a:rPr lang="en-GB"/>
                  <a:t>Academic</a:t>
                </a:r>
                <a:r>
                  <a:rPr lang="en-GB" baseline="0"/>
                  <a:t> Year</a:t>
                </a:r>
                <a:endParaRPr lang="en-GB"/>
              </a:p>
            </c:rich>
          </c:tx>
        </c:title>
        <c:tickLblPos val="nextTo"/>
        <c:crossAx val="178619136"/>
        <c:crosses val="autoZero"/>
        <c:auto val="1"/>
        <c:lblAlgn val="ctr"/>
        <c:lblOffset val="100"/>
      </c:catAx>
      <c:valAx>
        <c:axId val="178619136"/>
        <c:scaling>
          <c:orientation val="minMax"/>
        </c:scaling>
        <c:axPos val="l"/>
        <c:majorGridlines/>
        <c:title>
          <c:tx>
            <c:rich>
              <a:bodyPr rot="-5400000" vert="horz"/>
              <a:lstStyle/>
              <a:p>
                <a:pPr>
                  <a:defRPr/>
                </a:pPr>
                <a:r>
                  <a:rPr lang="en-GB"/>
                  <a:t>Percentage</a:t>
                </a:r>
                <a:r>
                  <a:rPr lang="en-GB" baseline="0"/>
                  <a:t> %</a:t>
                </a:r>
                <a:endParaRPr lang="en-GB"/>
              </a:p>
            </c:rich>
          </c:tx>
        </c:title>
        <c:numFmt formatCode="General" sourceLinked="1"/>
        <c:tickLblPos val="nextTo"/>
        <c:crossAx val="178596480"/>
        <c:crosses val="autoZero"/>
        <c:crossBetween val="between"/>
      </c:valAx>
    </c:plotArea>
    <c:legend>
      <c:legendPos val="r"/>
    </c:legend>
    <c:plotVisOnly val="1"/>
    <c:dispBlanksAs val="gap"/>
  </c:chart>
  <c:externalData r:id="rId1"/>
</c:chartSpace>
</file>

<file path=word/charts/chart91.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by Communities First Areas (SSL)</a:t>
            </a:r>
            <a:endParaRPr lang="en-GB"/>
          </a:p>
        </c:rich>
      </c:tx>
    </c:title>
    <c:plotArea>
      <c:layout/>
      <c:lineChart>
        <c:grouping val="standard"/>
        <c:ser>
          <c:idx val="0"/>
          <c:order val="0"/>
          <c:tx>
            <c:strRef>
              <c:f>Sheet1!$A$5</c:f>
              <c:strCache>
                <c:ptCount val="1"/>
                <c:pt idx="0">
                  <c:v>Communities First</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65.599999999999994</c:v>
                </c:pt>
                <c:pt idx="1">
                  <c:v>71.400000000000006</c:v>
                </c:pt>
                <c:pt idx="2">
                  <c:v>73.8</c:v>
                </c:pt>
              </c:numCache>
            </c:numRef>
          </c:val>
        </c:ser>
        <c:ser>
          <c:idx val="1"/>
          <c:order val="1"/>
          <c:tx>
            <c:strRef>
              <c:f>Sheet1!$A$6</c:f>
              <c:strCache>
                <c:ptCount val="1"/>
                <c:pt idx="0">
                  <c:v>Non Communities First</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63.5</c:v>
                </c:pt>
                <c:pt idx="1">
                  <c:v>80.8</c:v>
                </c:pt>
                <c:pt idx="2">
                  <c:v>78.099999999999994</c:v>
                </c:pt>
              </c:numCache>
            </c:numRef>
          </c:val>
        </c:ser>
        <c:marker val="1"/>
        <c:axId val="178669056"/>
        <c:axId val="178670976"/>
      </c:lineChart>
      <c:catAx>
        <c:axId val="178669056"/>
        <c:scaling>
          <c:orientation val="minMax"/>
        </c:scaling>
        <c:axPos val="b"/>
        <c:title>
          <c:tx>
            <c:rich>
              <a:bodyPr/>
              <a:lstStyle/>
              <a:p>
                <a:pPr>
                  <a:defRPr/>
                </a:pPr>
                <a:r>
                  <a:rPr lang="en-GB"/>
                  <a:t>Academic</a:t>
                </a:r>
                <a:r>
                  <a:rPr lang="en-GB" baseline="0"/>
                  <a:t> Year</a:t>
                </a:r>
                <a:endParaRPr lang="en-GB"/>
              </a:p>
            </c:rich>
          </c:tx>
        </c:title>
        <c:tickLblPos val="nextTo"/>
        <c:crossAx val="178670976"/>
        <c:crosses val="autoZero"/>
        <c:auto val="1"/>
        <c:lblAlgn val="ctr"/>
        <c:lblOffset val="100"/>
      </c:catAx>
      <c:valAx>
        <c:axId val="178670976"/>
        <c:scaling>
          <c:orientation val="minMax"/>
        </c:scaling>
        <c:axPos val="l"/>
        <c:majorGridlines/>
        <c:title>
          <c:tx>
            <c:rich>
              <a:bodyPr rot="-5400000" vert="horz"/>
              <a:lstStyle/>
              <a:p>
                <a:pPr>
                  <a:defRPr/>
                </a:pPr>
                <a:r>
                  <a:rPr lang="en-GB"/>
                  <a:t>Percentage</a:t>
                </a:r>
                <a:r>
                  <a:rPr lang="en-GB" baseline="0"/>
                  <a:t> %</a:t>
                </a:r>
                <a:endParaRPr lang="en-GB"/>
              </a:p>
            </c:rich>
          </c:tx>
        </c:title>
        <c:numFmt formatCode="General" sourceLinked="1"/>
        <c:tickLblPos val="nextTo"/>
        <c:crossAx val="178669056"/>
        <c:crosses val="autoZero"/>
        <c:crossBetween val="between"/>
      </c:valAx>
    </c:plotArea>
    <c:legend>
      <c:legendPos val="r"/>
    </c:legend>
    <c:plotVisOnly val="1"/>
    <c:dispBlanksAs val="gap"/>
  </c:chart>
  <c:externalData r:id="rId1"/>
</c:chartSpace>
</file>

<file path=word/charts/chart92.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by Communities First Areas (UFI)</a:t>
            </a:r>
            <a:endParaRPr lang="en-GB"/>
          </a:p>
        </c:rich>
      </c:tx>
    </c:title>
    <c:plotArea>
      <c:layout/>
      <c:lineChart>
        <c:grouping val="standard"/>
        <c:ser>
          <c:idx val="0"/>
          <c:order val="0"/>
          <c:tx>
            <c:strRef>
              <c:f>Sheet1!$A$5</c:f>
              <c:strCache>
                <c:ptCount val="1"/>
                <c:pt idx="0">
                  <c:v>Communities First</c:v>
                </c:pt>
              </c:strCache>
            </c:strRef>
          </c:tx>
          <c:marker>
            <c:symbol val="none"/>
          </c:marker>
          <c:cat>
            <c:strRef>
              <c:f>Sheet1!$B$3:$D$4</c:f>
              <c:strCache>
                <c:ptCount val="3"/>
                <c:pt idx="0">
                  <c:v>2007-2008</c:v>
                </c:pt>
                <c:pt idx="1">
                  <c:v>2008-2009</c:v>
                </c:pt>
                <c:pt idx="2">
                  <c:v>2009-2010</c:v>
                </c:pt>
              </c:strCache>
            </c:strRef>
          </c:cat>
          <c:val>
            <c:numRef>
              <c:f>Sheet1!$B$5:$D$5</c:f>
              <c:numCache>
                <c:formatCode>General</c:formatCode>
                <c:ptCount val="3"/>
                <c:pt idx="0">
                  <c:v>78.599999999999994</c:v>
                </c:pt>
                <c:pt idx="1">
                  <c:v>88.9</c:v>
                </c:pt>
                <c:pt idx="2">
                  <c:v>100</c:v>
                </c:pt>
              </c:numCache>
            </c:numRef>
          </c:val>
        </c:ser>
        <c:ser>
          <c:idx val="1"/>
          <c:order val="1"/>
          <c:tx>
            <c:strRef>
              <c:f>Sheet1!$A$6</c:f>
              <c:strCache>
                <c:ptCount val="1"/>
                <c:pt idx="0">
                  <c:v>Non Communities First</c:v>
                </c:pt>
              </c:strCache>
            </c:strRef>
          </c:tx>
          <c:marker>
            <c:symbol val="none"/>
          </c:marker>
          <c:cat>
            <c:strRef>
              <c:f>Sheet1!$B$3:$D$4</c:f>
              <c:strCache>
                <c:ptCount val="3"/>
                <c:pt idx="0">
                  <c:v>2007-2008</c:v>
                </c:pt>
                <c:pt idx="1">
                  <c:v>2008-2009</c:v>
                </c:pt>
                <c:pt idx="2">
                  <c:v>2009-2010</c:v>
                </c:pt>
              </c:strCache>
            </c:strRef>
          </c:cat>
          <c:val>
            <c:numRef>
              <c:f>Sheet1!$B$6:$D$6</c:f>
              <c:numCache>
                <c:formatCode>General</c:formatCode>
                <c:ptCount val="3"/>
                <c:pt idx="0">
                  <c:v>90.9</c:v>
                </c:pt>
                <c:pt idx="1">
                  <c:v>80</c:v>
                </c:pt>
                <c:pt idx="2">
                  <c:v>70.8</c:v>
                </c:pt>
              </c:numCache>
            </c:numRef>
          </c:val>
        </c:ser>
        <c:marker val="1"/>
        <c:axId val="178708864"/>
        <c:axId val="178710784"/>
      </c:lineChart>
      <c:catAx>
        <c:axId val="178708864"/>
        <c:scaling>
          <c:orientation val="minMax"/>
        </c:scaling>
        <c:axPos val="b"/>
        <c:title>
          <c:tx>
            <c:rich>
              <a:bodyPr/>
              <a:lstStyle/>
              <a:p>
                <a:pPr>
                  <a:defRPr/>
                </a:pPr>
                <a:r>
                  <a:rPr lang="en-GB"/>
                  <a:t>Academic</a:t>
                </a:r>
                <a:r>
                  <a:rPr lang="en-GB" baseline="0"/>
                  <a:t> Year</a:t>
                </a:r>
                <a:endParaRPr lang="en-GB"/>
              </a:p>
            </c:rich>
          </c:tx>
        </c:title>
        <c:tickLblPos val="nextTo"/>
        <c:crossAx val="178710784"/>
        <c:crosses val="autoZero"/>
        <c:auto val="1"/>
        <c:lblAlgn val="ctr"/>
        <c:lblOffset val="100"/>
      </c:catAx>
      <c:valAx>
        <c:axId val="178710784"/>
        <c:scaling>
          <c:orientation val="minMax"/>
        </c:scaling>
        <c:axPos val="l"/>
        <c:majorGridlines/>
        <c:title>
          <c:tx>
            <c:rich>
              <a:bodyPr rot="-5400000" vert="horz"/>
              <a:lstStyle/>
              <a:p>
                <a:pPr>
                  <a:defRPr/>
                </a:pPr>
                <a:r>
                  <a:rPr lang="en-GB"/>
                  <a:t>Percentage</a:t>
                </a:r>
                <a:r>
                  <a:rPr lang="en-GB" baseline="0"/>
                  <a:t> %</a:t>
                </a:r>
                <a:endParaRPr lang="en-GB"/>
              </a:p>
            </c:rich>
          </c:tx>
        </c:title>
        <c:numFmt formatCode="General" sourceLinked="1"/>
        <c:tickLblPos val="nextTo"/>
        <c:crossAx val="178708864"/>
        <c:crosses val="autoZero"/>
        <c:crossBetween val="between"/>
      </c:valAx>
    </c:plotArea>
    <c:legend>
      <c:legendPos val="r"/>
    </c:legend>
    <c:plotVisOnly val="1"/>
    <c:dispBlanksAs val="gap"/>
  </c:chart>
  <c:externalData r:id="rId1"/>
</c:chartSpace>
</file>

<file path=word/charts/chart93.xml><?xml version="1.0" encoding="utf-8"?>
<c:chartSpace xmlns:c="http://schemas.openxmlformats.org/drawingml/2006/chart" xmlns:a="http://schemas.openxmlformats.org/drawingml/2006/main" xmlns:r="http://schemas.openxmlformats.org/officeDocument/2006/relationships">
  <c:lang val="en-GB"/>
  <c:style val="44"/>
  <c:chart>
    <c:title>
      <c:tx>
        <c:rich>
          <a:bodyPr/>
          <a:lstStyle/>
          <a:p>
            <a:pPr>
              <a:defRPr/>
            </a:pPr>
            <a:r>
              <a:rPr lang="en-GB"/>
              <a:t>Analysis</a:t>
            </a:r>
            <a:r>
              <a:rPr lang="en-GB" baseline="0"/>
              <a:t> of Males in Receipt of Free Meals</a:t>
            </a:r>
            <a:endParaRPr lang="en-GB"/>
          </a:p>
        </c:rich>
      </c:tx>
    </c:title>
    <c:view3D>
      <c:rAngAx val="1"/>
    </c:view3D>
    <c:plotArea>
      <c:layout/>
      <c:bar3DChart>
        <c:barDir val="col"/>
        <c:grouping val="clustered"/>
        <c:ser>
          <c:idx val="0"/>
          <c:order val="0"/>
          <c:tx>
            <c:strRef>
              <c:f>Sheet1!$B$1</c:f>
              <c:strCache>
                <c:ptCount val="1"/>
                <c:pt idx="0">
                  <c:v>Males in receipt of free meals</c:v>
                </c:pt>
              </c:strCache>
            </c:strRef>
          </c:tx>
          <c:cat>
            <c:strRef>
              <c:f>Sheet1!$A$2:$A$4</c:f>
              <c:strCache>
                <c:ptCount val="3"/>
                <c:pt idx="0">
                  <c:v>Retention</c:v>
                </c:pt>
                <c:pt idx="1">
                  <c:v>Attainment</c:v>
                </c:pt>
                <c:pt idx="2">
                  <c:v>Success</c:v>
                </c:pt>
              </c:strCache>
            </c:strRef>
          </c:cat>
          <c:val>
            <c:numRef>
              <c:f>Sheet1!$B$2:$B$4</c:f>
              <c:numCache>
                <c:formatCode>General</c:formatCode>
                <c:ptCount val="3"/>
                <c:pt idx="0">
                  <c:v>92.7</c:v>
                </c:pt>
                <c:pt idx="1">
                  <c:v>84.6</c:v>
                </c:pt>
                <c:pt idx="2">
                  <c:v>78.5</c:v>
                </c:pt>
              </c:numCache>
            </c:numRef>
          </c:val>
        </c:ser>
        <c:ser>
          <c:idx val="1"/>
          <c:order val="1"/>
          <c:tx>
            <c:strRef>
              <c:f>Sheet1!$C$1</c:f>
              <c:strCache>
                <c:ptCount val="1"/>
                <c:pt idx="0">
                  <c:v>Males not in receipt of free meals </c:v>
                </c:pt>
              </c:strCache>
            </c:strRef>
          </c:tx>
          <c:cat>
            <c:strRef>
              <c:f>Sheet1!$A$2:$A$4</c:f>
              <c:strCache>
                <c:ptCount val="3"/>
                <c:pt idx="0">
                  <c:v>Retention</c:v>
                </c:pt>
                <c:pt idx="1">
                  <c:v>Attainment</c:v>
                </c:pt>
                <c:pt idx="2">
                  <c:v>Success</c:v>
                </c:pt>
              </c:strCache>
            </c:strRef>
          </c:cat>
          <c:val>
            <c:numRef>
              <c:f>Sheet1!$C$2:$C$4</c:f>
              <c:numCache>
                <c:formatCode>General</c:formatCode>
                <c:ptCount val="3"/>
                <c:pt idx="0">
                  <c:v>91</c:v>
                </c:pt>
                <c:pt idx="1">
                  <c:v>82.4</c:v>
                </c:pt>
                <c:pt idx="2">
                  <c:v>75</c:v>
                </c:pt>
              </c:numCache>
            </c:numRef>
          </c:val>
        </c:ser>
        <c:shape val="box"/>
        <c:axId val="178933120"/>
        <c:axId val="178939008"/>
        <c:axId val="0"/>
      </c:bar3DChart>
      <c:catAx>
        <c:axId val="178933120"/>
        <c:scaling>
          <c:orientation val="minMax"/>
        </c:scaling>
        <c:axPos val="b"/>
        <c:tickLblPos val="nextTo"/>
        <c:crossAx val="178939008"/>
        <c:crosses val="autoZero"/>
        <c:auto val="1"/>
        <c:lblAlgn val="ctr"/>
        <c:lblOffset val="100"/>
      </c:catAx>
      <c:valAx>
        <c:axId val="178939008"/>
        <c:scaling>
          <c:orientation val="minMax"/>
        </c:scaling>
        <c:axPos val="l"/>
        <c:majorGridlines/>
        <c:title>
          <c:tx>
            <c:rich>
              <a:bodyPr rot="-5400000" vert="horz"/>
              <a:lstStyle/>
              <a:p>
                <a:pPr>
                  <a:defRPr/>
                </a:pPr>
                <a:r>
                  <a:rPr lang="en-GB"/>
                  <a:t>Percentage</a:t>
                </a:r>
                <a:r>
                  <a:rPr lang="en-GB" baseline="0"/>
                  <a:t> % </a:t>
                </a:r>
                <a:endParaRPr lang="en-GB"/>
              </a:p>
            </c:rich>
          </c:tx>
        </c:title>
        <c:numFmt formatCode="General" sourceLinked="1"/>
        <c:tickLblPos val="nextTo"/>
        <c:crossAx val="178933120"/>
        <c:crosses val="autoZero"/>
        <c:crossBetween val="between"/>
      </c:valAx>
    </c:plotArea>
    <c:legend>
      <c:legendPos val="r"/>
    </c:legend>
    <c:plotVisOnly val="1"/>
  </c:chart>
  <c:externalData r:id="rId1"/>
</c:chartSpace>
</file>

<file path=word/charts/chart94.xml><?xml version="1.0" encoding="utf-8"?>
<c:chartSpace xmlns:c="http://schemas.openxmlformats.org/drawingml/2006/chart" xmlns:a="http://schemas.openxmlformats.org/drawingml/2006/main" xmlns:r="http://schemas.openxmlformats.org/officeDocument/2006/relationships">
  <c:lang val="en-GB"/>
  <c:style val="44"/>
  <c:chart>
    <c:title>
      <c:tx>
        <c:rich>
          <a:bodyPr/>
          <a:lstStyle/>
          <a:p>
            <a:pPr>
              <a:defRPr/>
            </a:pPr>
            <a:r>
              <a:rPr lang="en-GB"/>
              <a:t>Analysis</a:t>
            </a:r>
            <a:r>
              <a:rPr lang="en-GB" baseline="0"/>
              <a:t> of Females in Receipt              of Free Meals</a:t>
            </a:r>
            <a:endParaRPr lang="en-GB"/>
          </a:p>
        </c:rich>
      </c:tx>
    </c:title>
    <c:view3D>
      <c:rAngAx val="1"/>
    </c:view3D>
    <c:plotArea>
      <c:layout/>
      <c:bar3DChart>
        <c:barDir val="col"/>
        <c:grouping val="clustered"/>
        <c:ser>
          <c:idx val="0"/>
          <c:order val="0"/>
          <c:tx>
            <c:strRef>
              <c:f>Sheet1!$B$1</c:f>
              <c:strCache>
                <c:ptCount val="1"/>
                <c:pt idx="0">
                  <c:v>Females in receipt of free meals </c:v>
                </c:pt>
              </c:strCache>
            </c:strRef>
          </c:tx>
          <c:cat>
            <c:strRef>
              <c:f>Sheet1!$A$2:$A$4</c:f>
              <c:strCache>
                <c:ptCount val="3"/>
                <c:pt idx="0">
                  <c:v>Retention</c:v>
                </c:pt>
                <c:pt idx="1">
                  <c:v>Attainment</c:v>
                </c:pt>
                <c:pt idx="2">
                  <c:v>Success</c:v>
                </c:pt>
              </c:strCache>
            </c:strRef>
          </c:cat>
          <c:val>
            <c:numRef>
              <c:f>Sheet1!$B$2:$B$4</c:f>
              <c:numCache>
                <c:formatCode>General</c:formatCode>
                <c:ptCount val="3"/>
                <c:pt idx="0">
                  <c:v>95.7</c:v>
                </c:pt>
                <c:pt idx="1">
                  <c:v>89</c:v>
                </c:pt>
                <c:pt idx="2">
                  <c:v>85.1</c:v>
                </c:pt>
              </c:numCache>
            </c:numRef>
          </c:val>
        </c:ser>
        <c:ser>
          <c:idx val="1"/>
          <c:order val="1"/>
          <c:tx>
            <c:strRef>
              <c:f>Sheet1!$C$1</c:f>
              <c:strCache>
                <c:ptCount val="1"/>
                <c:pt idx="0">
                  <c:v>Females not in receipt of free meals </c:v>
                </c:pt>
              </c:strCache>
            </c:strRef>
          </c:tx>
          <c:cat>
            <c:strRef>
              <c:f>Sheet1!$A$2:$A$4</c:f>
              <c:strCache>
                <c:ptCount val="3"/>
                <c:pt idx="0">
                  <c:v>Retention</c:v>
                </c:pt>
                <c:pt idx="1">
                  <c:v>Attainment</c:v>
                </c:pt>
                <c:pt idx="2">
                  <c:v>Success</c:v>
                </c:pt>
              </c:strCache>
            </c:strRef>
          </c:cat>
          <c:val>
            <c:numRef>
              <c:f>Sheet1!$C$2:$C$4</c:f>
              <c:numCache>
                <c:formatCode>General</c:formatCode>
                <c:ptCount val="3"/>
                <c:pt idx="0">
                  <c:v>90.1</c:v>
                </c:pt>
                <c:pt idx="1">
                  <c:v>80.900000000000006</c:v>
                </c:pt>
                <c:pt idx="2">
                  <c:v>72.8</c:v>
                </c:pt>
              </c:numCache>
            </c:numRef>
          </c:val>
        </c:ser>
        <c:shape val="box"/>
        <c:axId val="179972352"/>
        <c:axId val="179974144"/>
        <c:axId val="0"/>
      </c:bar3DChart>
      <c:catAx>
        <c:axId val="179972352"/>
        <c:scaling>
          <c:orientation val="minMax"/>
        </c:scaling>
        <c:axPos val="b"/>
        <c:tickLblPos val="nextTo"/>
        <c:crossAx val="179974144"/>
        <c:crosses val="autoZero"/>
        <c:auto val="1"/>
        <c:lblAlgn val="ctr"/>
        <c:lblOffset val="100"/>
      </c:catAx>
      <c:valAx>
        <c:axId val="179974144"/>
        <c:scaling>
          <c:orientation val="minMax"/>
        </c:scaling>
        <c:axPos val="l"/>
        <c:majorGridlines/>
        <c:title>
          <c:tx>
            <c:rich>
              <a:bodyPr rot="-5400000" vert="horz"/>
              <a:lstStyle/>
              <a:p>
                <a:pPr>
                  <a:defRPr/>
                </a:pPr>
                <a:r>
                  <a:rPr lang="en-GB"/>
                  <a:t>Percentage</a:t>
                </a:r>
                <a:r>
                  <a:rPr lang="en-GB" baseline="0"/>
                  <a:t> %</a:t>
                </a:r>
                <a:endParaRPr lang="en-GB"/>
              </a:p>
            </c:rich>
          </c:tx>
        </c:title>
        <c:numFmt formatCode="General" sourceLinked="1"/>
        <c:tickLblPos val="nextTo"/>
        <c:crossAx val="179972352"/>
        <c:crosses val="autoZero"/>
        <c:crossBetween val="between"/>
      </c:valAx>
    </c:plotArea>
    <c:legend>
      <c:legendPos val="r"/>
    </c:legend>
    <c:plotVisOnly val="1"/>
    <c:dispBlanksAs val="gap"/>
  </c:chart>
  <c:externalData r:id="rId1"/>
</c:chartSpace>
</file>

<file path=word/charts/chart95.xml><?xml version="1.0" encoding="utf-8"?>
<c:chartSpace xmlns:c="http://schemas.openxmlformats.org/drawingml/2006/chart" xmlns:a="http://schemas.openxmlformats.org/drawingml/2006/main" xmlns:r="http://schemas.openxmlformats.org/officeDocument/2006/relationships">
  <c:lang val="en-GB"/>
  <c:style val="44"/>
  <c:chart>
    <c:title>
      <c:tx>
        <c:rich>
          <a:bodyPr/>
          <a:lstStyle/>
          <a:p>
            <a:pPr>
              <a:defRPr/>
            </a:pPr>
            <a:r>
              <a:rPr lang="en-GB"/>
              <a:t>Analysis</a:t>
            </a:r>
            <a:r>
              <a:rPr lang="en-GB" baseline="0"/>
              <a:t> of Learners in Receipt                of Free Meals</a:t>
            </a:r>
            <a:endParaRPr lang="en-GB"/>
          </a:p>
        </c:rich>
      </c:tx>
    </c:title>
    <c:view3D>
      <c:rAngAx val="1"/>
    </c:view3D>
    <c:plotArea>
      <c:layout/>
      <c:bar3DChart>
        <c:barDir val="col"/>
        <c:grouping val="clustered"/>
        <c:ser>
          <c:idx val="0"/>
          <c:order val="0"/>
          <c:tx>
            <c:strRef>
              <c:f>Sheet1!$B$1</c:f>
              <c:strCache>
                <c:ptCount val="1"/>
                <c:pt idx="0">
                  <c:v>Learners in receipt of free meals </c:v>
                </c:pt>
              </c:strCache>
            </c:strRef>
          </c:tx>
          <c:cat>
            <c:strRef>
              <c:f>Sheet1!$A$2:$A$4</c:f>
              <c:strCache>
                <c:ptCount val="3"/>
                <c:pt idx="0">
                  <c:v>Retention</c:v>
                </c:pt>
                <c:pt idx="1">
                  <c:v>Attainment</c:v>
                </c:pt>
                <c:pt idx="2">
                  <c:v>Success</c:v>
                </c:pt>
              </c:strCache>
            </c:strRef>
          </c:cat>
          <c:val>
            <c:numRef>
              <c:f>Sheet1!$B$2:$B$4</c:f>
              <c:numCache>
                <c:formatCode>General</c:formatCode>
                <c:ptCount val="3"/>
                <c:pt idx="0">
                  <c:v>94.4</c:v>
                </c:pt>
                <c:pt idx="1">
                  <c:v>87.1</c:v>
                </c:pt>
                <c:pt idx="2">
                  <c:v>82.2</c:v>
                </c:pt>
              </c:numCache>
            </c:numRef>
          </c:val>
        </c:ser>
        <c:ser>
          <c:idx val="1"/>
          <c:order val="1"/>
          <c:tx>
            <c:strRef>
              <c:f>Sheet1!$C$1</c:f>
              <c:strCache>
                <c:ptCount val="1"/>
                <c:pt idx="0">
                  <c:v>Learners not in receipt of free meals </c:v>
                </c:pt>
              </c:strCache>
            </c:strRef>
          </c:tx>
          <c:cat>
            <c:strRef>
              <c:f>Sheet1!$A$2:$A$4</c:f>
              <c:strCache>
                <c:ptCount val="3"/>
                <c:pt idx="0">
                  <c:v>Retention</c:v>
                </c:pt>
                <c:pt idx="1">
                  <c:v>Attainment</c:v>
                </c:pt>
                <c:pt idx="2">
                  <c:v>Success</c:v>
                </c:pt>
              </c:strCache>
            </c:strRef>
          </c:cat>
          <c:val>
            <c:numRef>
              <c:f>Sheet1!$C$2:$C$4</c:f>
              <c:numCache>
                <c:formatCode>General</c:formatCode>
                <c:ptCount val="3"/>
                <c:pt idx="0">
                  <c:v>90.6</c:v>
                </c:pt>
                <c:pt idx="1">
                  <c:v>81.7</c:v>
                </c:pt>
                <c:pt idx="2">
                  <c:v>74</c:v>
                </c:pt>
              </c:numCache>
            </c:numRef>
          </c:val>
        </c:ser>
        <c:shape val="box"/>
        <c:axId val="180008064"/>
        <c:axId val="180009600"/>
        <c:axId val="0"/>
      </c:bar3DChart>
      <c:catAx>
        <c:axId val="180008064"/>
        <c:scaling>
          <c:orientation val="minMax"/>
        </c:scaling>
        <c:axPos val="b"/>
        <c:tickLblPos val="nextTo"/>
        <c:crossAx val="180009600"/>
        <c:crosses val="autoZero"/>
        <c:auto val="1"/>
        <c:lblAlgn val="ctr"/>
        <c:lblOffset val="100"/>
      </c:catAx>
      <c:valAx>
        <c:axId val="180009600"/>
        <c:scaling>
          <c:orientation val="minMax"/>
        </c:scaling>
        <c:axPos val="l"/>
        <c:majorGridlines/>
        <c:title>
          <c:tx>
            <c:rich>
              <a:bodyPr rot="-5400000" vert="horz"/>
              <a:lstStyle/>
              <a:p>
                <a:pPr>
                  <a:defRPr/>
                </a:pPr>
                <a:r>
                  <a:rPr lang="en-GB"/>
                  <a:t>Percentage</a:t>
                </a:r>
                <a:r>
                  <a:rPr lang="en-GB" baseline="0"/>
                  <a:t> %</a:t>
                </a:r>
                <a:endParaRPr lang="en-GB"/>
              </a:p>
            </c:rich>
          </c:tx>
        </c:title>
        <c:numFmt formatCode="General" sourceLinked="1"/>
        <c:tickLblPos val="nextTo"/>
        <c:crossAx val="180008064"/>
        <c:crosses val="autoZero"/>
        <c:crossBetween val="between"/>
      </c:valAx>
    </c:plotArea>
    <c:legend>
      <c:legendPos val="r"/>
    </c:legend>
    <c:plotVisOnly val="1"/>
    <c:dispBlanksAs val="gap"/>
  </c:chart>
  <c:externalData r:id="rId1"/>
</c:chartSpace>
</file>

<file path=word/charts/chart96.xml><?xml version="1.0" encoding="utf-8"?>
<c:chartSpace xmlns:c="http://schemas.openxmlformats.org/drawingml/2006/chart" xmlns:a="http://schemas.openxmlformats.org/drawingml/2006/main" xmlns:r="http://schemas.openxmlformats.org/officeDocument/2006/relationships">
  <c:lang val="en-GB"/>
  <c:style val="44"/>
  <c:chart>
    <c:title>
      <c:tx>
        <c:rich>
          <a:bodyPr/>
          <a:lstStyle/>
          <a:p>
            <a:pPr>
              <a:defRPr/>
            </a:pPr>
            <a:r>
              <a:rPr lang="en-GB"/>
              <a:t>Success</a:t>
            </a:r>
            <a:r>
              <a:rPr lang="en-GB" baseline="0"/>
              <a:t> of Males with Criminal Convictions</a:t>
            </a:r>
            <a:endParaRPr lang="en-GB"/>
          </a:p>
        </c:rich>
      </c:tx>
    </c:title>
    <c:view3D>
      <c:rAngAx val="1"/>
    </c:view3D>
    <c:plotArea>
      <c:layout/>
      <c:bar3DChart>
        <c:barDir val="col"/>
        <c:grouping val="clustered"/>
        <c:ser>
          <c:idx val="0"/>
          <c:order val="0"/>
          <c:tx>
            <c:strRef>
              <c:f>Sheet1!$B$1</c:f>
              <c:strCache>
                <c:ptCount val="1"/>
                <c:pt idx="0">
                  <c:v>Males with Criminal Convictions</c:v>
                </c:pt>
              </c:strCache>
            </c:strRef>
          </c:tx>
          <c:cat>
            <c:strRef>
              <c:f>Sheet1!$A$2:$A$4</c:f>
              <c:strCache>
                <c:ptCount val="3"/>
                <c:pt idx="0">
                  <c:v>Retention</c:v>
                </c:pt>
                <c:pt idx="1">
                  <c:v>Attainment</c:v>
                </c:pt>
                <c:pt idx="2">
                  <c:v>Success</c:v>
                </c:pt>
              </c:strCache>
            </c:strRef>
          </c:cat>
          <c:val>
            <c:numRef>
              <c:f>Sheet1!$B$2:$B$4</c:f>
              <c:numCache>
                <c:formatCode>General</c:formatCode>
                <c:ptCount val="3"/>
                <c:pt idx="0">
                  <c:v>80.2</c:v>
                </c:pt>
                <c:pt idx="1">
                  <c:v>77.900000000000006</c:v>
                </c:pt>
                <c:pt idx="2">
                  <c:v>62.4</c:v>
                </c:pt>
              </c:numCache>
            </c:numRef>
          </c:val>
        </c:ser>
        <c:ser>
          <c:idx val="1"/>
          <c:order val="1"/>
          <c:tx>
            <c:strRef>
              <c:f>Sheet1!$C$1</c:f>
              <c:strCache>
                <c:ptCount val="1"/>
                <c:pt idx="0">
                  <c:v>Males without Criminal Convictions </c:v>
                </c:pt>
              </c:strCache>
            </c:strRef>
          </c:tx>
          <c:cat>
            <c:strRef>
              <c:f>Sheet1!$A$2:$A$4</c:f>
              <c:strCache>
                <c:ptCount val="3"/>
                <c:pt idx="0">
                  <c:v>Retention</c:v>
                </c:pt>
                <c:pt idx="1">
                  <c:v>Attainment</c:v>
                </c:pt>
                <c:pt idx="2">
                  <c:v>Success</c:v>
                </c:pt>
              </c:strCache>
            </c:strRef>
          </c:cat>
          <c:val>
            <c:numRef>
              <c:f>Sheet1!$C$2:$C$4</c:f>
              <c:numCache>
                <c:formatCode>General</c:formatCode>
                <c:ptCount val="3"/>
                <c:pt idx="0">
                  <c:v>91.3</c:v>
                </c:pt>
                <c:pt idx="1">
                  <c:v>82.6</c:v>
                </c:pt>
                <c:pt idx="2">
                  <c:v>75.400000000000006</c:v>
                </c:pt>
              </c:numCache>
            </c:numRef>
          </c:val>
        </c:ser>
        <c:shape val="box"/>
        <c:axId val="180077312"/>
        <c:axId val="180078848"/>
        <c:axId val="0"/>
      </c:bar3DChart>
      <c:catAx>
        <c:axId val="180077312"/>
        <c:scaling>
          <c:orientation val="minMax"/>
        </c:scaling>
        <c:axPos val="b"/>
        <c:tickLblPos val="nextTo"/>
        <c:crossAx val="180078848"/>
        <c:crosses val="autoZero"/>
        <c:auto val="1"/>
        <c:lblAlgn val="ctr"/>
        <c:lblOffset val="100"/>
      </c:catAx>
      <c:valAx>
        <c:axId val="180078848"/>
        <c:scaling>
          <c:orientation val="minMax"/>
        </c:scaling>
        <c:axPos val="l"/>
        <c:majorGridlines/>
        <c:title>
          <c:tx>
            <c:rich>
              <a:bodyPr rot="-5400000" vert="horz"/>
              <a:lstStyle/>
              <a:p>
                <a:pPr>
                  <a:defRPr/>
                </a:pPr>
                <a:r>
                  <a:rPr lang="en-GB"/>
                  <a:t>Percentage</a:t>
                </a:r>
                <a:r>
                  <a:rPr lang="en-GB" baseline="0"/>
                  <a:t> % </a:t>
                </a:r>
                <a:endParaRPr lang="en-GB"/>
              </a:p>
            </c:rich>
          </c:tx>
        </c:title>
        <c:numFmt formatCode="General" sourceLinked="1"/>
        <c:tickLblPos val="nextTo"/>
        <c:crossAx val="180077312"/>
        <c:crosses val="autoZero"/>
        <c:crossBetween val="between"/>
      </c:valAx>
    </c:plotArea>
    <c:legend>
      <c:legendPos val="r"/>
    </c:legend>
    <c:plotVisOnly val="1"/>
  </c:chart>
  <c:externalData r:id="rId1"/>
</c:chartSpace>
</file>

<file path=word/charts/chart97.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of Females with Criminal Convictions</a:t>
            </a:r>
            <a:endParaRPr lang="en-GB"/>
          </a:p>
        </c:rich>
      </c:tx>
    </c:title>
    <c:view3D>
      <c:rAngAx val="1"/>
    </c:view3D>
    <c:plotArea>
      <c:layout/>
      <c:bar3DChart>
        <c:barDir val="col"/>
        <c:grouping val="clustered"/>
        <c:ser>
          <c:idx val="0"/>
          <c:order val="0"/>
          <c:tx>
            <c:strRef>
              <c:f>Sheet1!$B$1</c:f>
              <c:strCache>
                <c:ptCount val="1"/>
                <c:pt idx="0">
                  <c:v>Females with Criminal Convictions</c:v>
                </c:pt>
              </c:strCache>
            </c:strRef>
          </c:tx>
          <c:cat>
            <c:strRef>
              <c:f>Sheet1!$A$2:$A$4</c:f>
              <c:strCache>
                <c:ptCount val="3"/>
                <c:pt idx="0">
                  <c:v>Retention</c:v>
                </c:pt>
                <c:pt idx="1">
                  <c:v>Attainment</c:v>
                </c:pt>
                <c:pt idx="2">
                  <c:v>Success</c:v>
                </c:pt>
              </c:strCache>
            </c:strRef>
          </c:cat>
          <c:val>
            <c:numRef>
              <c:f>Sheet1!$B$2:$B$4</c:f>
              <c:numCache>
                <c:formatCode>General</c:formatCode>
                <c:ptCount val="3"/>
                <c:pt idx="0">
                  <c:v>92.2</c:v>
                </c:pt>
                <c:pt idx="1">
                  <c:v>88.2</c:v>
                </c:pt>
                <c:pt idx="2">
                  <c:v>81.3</c:v>
                </c:pt>
              </c:numCache>
            </c:numRef>
          </c:val>
        </c:ser>
        <c:ser>
          <c:idx val="1"/>
          <c:order val="1"/>
          <c:tx>
            <c:strRef>
              <c:f>Sheet1!$C$1</c:f>
              <c:strCache>
                <c:ptCount val="1"/>
                <c:pt idx="0">
                  <c:v>Females without Criminal Convictions </c:v>
                </c:pt>
              </c:strCache>
            </c:strRef>
          </c:tx>
          <c:cat>
            <c:strRef>
              <c:f>Sheet1!$A$2:$A$4</c:f>
              <c:strCache>
                <c:ptCount val="3"/>
                <c:pt idx="0">
                  <c:v>Retention</c:v>
                </c:pt>
                <c:pt idx="1">
                  <c:v>Attainment</c:v>
                </c:pt>
                <c:pt idx="2">
                  <c:v>Success</c:v>
                </c:pt>
              </c:strCache>
            </c:strRef>
          </c:cat>
          <c:val>
            <c:numRef>
              <c:f>Sheet1!$C$2:$C$4</c:f>
              <c:numCache>
                <c:formatCode>General</c:formatCode>
                <c:ptCount val="3"/>
                <c:pt idx="0">
                  <c:v>90.6</c:v>
                </c:pt>
                <c:pt idx="1">
                  <c:v>81.7</c:v>
                </c:pt>
                <c:pt idx="2">
                  <c:v>74</c:v>
                </c:pt>
              </c:numCache>
            </c:numRef>
          </c:val>
        </c:ser>
        <c:shape val="box"/>
        <c:axId val="180108672"/>
        <c:axId val="180114560"/>
        <c:axId val="0"/>
      </c:bar3DChart>
      <c:catAx>
        <c:axId val="180108672"/>
        <c:scaling>
          <c:orientation val="minMax"/>
        </c:scaling>
        <c:axPos val="b"/>
        <c:tickLblPos val="nextTo"/>
        <c:crossAx val="180114560"/>
        <c:crosses val="autoZero"/>
        <c:auto val="1"/>
        <c:lblAlgn val="ctr"/>
        <c:lblOffset val="100"/>
      </c:catAx>
      <c:valAx>
        <c:axId val="180114560"/>
        <c:scaling>
          <c:orientation val="minMax"/>
        </c:scaling>
        <c:axPos val="l"/>
        <c:majorGridlines/>
        <c:title>
          <c:tx>
            <c:rich>
              <a:bodyPr rot="-5400000" vert="horz"/>
              <a:lstStyle/>
              <a:p>
                <a:pPr>
                  <a:defRPr/>
                </a:pPr>
                <a:r>
                  <a:rPr lang="en-GB"/>
                  <a:t>Percentage</a:t>
                </a:r>
                <a:r>
                  <a:rPr lang="en-GB" baseline="0"/>
                  <a:t> % </a:t>
                </a:r>
                <a:endParaRPr lang="en-GB"/>
              </a:p>
            </c:rich>
          </c:tx>
        </c:title>
        <c:numFmt formatCode="General" sourceLinked="1"/>
        <c:tickLblPos val="nextTo"/>
        <c:crossAx val="180108672"/>
        <c:crosses val="autoZero"/>
        <c:crossBetween val="between"/>
      </c:valAx>
    </c:plotArea>
    <c:legend>
      <c:legendPos val="r"/>
    </c:legend>
    <c:plotVisOnly val="1"/>
  </c:chart>
  <c:externalData r:id="rId1"/>
</c:chartSpace>
</file>

<file path=word/charts/chart98.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of Learners with Criminal Convictions</a:t>
            </a:r>
            <a:endParaRPr lang="en-GB"/>
          </a:p>
        </c:rich>
      </c:tx>
    </c:title>
    <c:view3D>
      <c:rAngAx val="1"/>
    </c:view3D>
    <c:plotArea>
      <c:layout/>
      <c:bar3DChart>
        <c:barDir val="col"/>
        <c:grouping val="clustered"/>
        <c:ser>
          <c:idx val="0"/>
          <c:order val="0"/>
          <c:tx>
            <c:strRef>
              <c:f>Sheet1!$B$1</c:f>
              <c:strCache>
                <c:ptCount val="1"/>
                <c:pt idx="0">
                  <c:v>Learners  with Criminal Convictions</c:v>
                </c:pt>
              </c:strCache>
            </c:strRef>
          </c:tx>
          <c:cat>
            <c:strRef>
              <c:f>Sheet1!$A$2:$A$4</c:f>
              <c:strCache>
                <c:ptCount val="3"/>
                <c:pt idx="0">
                  <c:v>Retention</c:v>
                </c:pt>
                <c:pt idx="1">
                  <c:v>Attainment</c:v>
                </c:pt>
                <c:pt idx="2">
                  <c:v>Success</c:v>
                </c:pt>
              </c:strCache>
            </c:strRef>
          </c:cat>
          <c:val>
            <c:numRef>
              <c:f>Sheet1!$B$2:$B$4</c:f>
              <c:numCache>
                <c:formatCode>General</c:formatCode>
                <c:ptCount val="3"/>
                <c:pt idx="0">
                  <c:v>83.5</c:v>
                </c:pt>
                <c:pt idx="1">
                  <c:v>80.8</c:v>
                </c:pt>
                <c:pt idx="2">
                  <c:v>67.5</c:v>
                </c:pt>
              </c:numCache>
            </c:numRef>
          </c:val>
        </c:ser>
        <c:ser>
          <c:idx val="1"/>
          <c:order val="1"/>
          <c:tx>
            <c:strRef>
              <c:f>Sheet1!$C$1</c:f>
              <c:strCache>
                <c:ptCount val="1"/>
                <c:pt idx="0">
                  <c:v>Learners without  Criminal Convictions </c:v>
                </c:pt>
              </c:strCache>
            </c:strRef>
          </c:tx>
          <c:cat>
            <c:strRef>
              <c:f>Sheet1!$A$2:$A$4</c:f>
              <c:strCache>
                <c:ptCount val="3"/>
                <c:pt idx="0">
                  <c:v>Retention</c:v>
                </c:pt>
                <c:pt idx="1">
                  <c:v>Attainment</c:v>
                </c:pt>
                <c:pt idx="2">
                  <c:v>Success</c:v>
                </c:pt>
              </c:strCache>
            </c:strRef>
          </c:cat>
          <c:val>
            <c:numRef>
              <c:f>Sheet1!$C$2:$C$4</c:f>
              <c:numCache>
                <c:formatCode>General</c:formatCode>
                <c:ptCount val="3"/>
                <c:pt idx="0">
                  <c:v>90.9</c:v>
                </c:pt>
                <c:pt idx="1">
                  <c:v>82.1</c:v>
                </c:pt>
                <c:pt idx="2">
                  <c:v>74.599999999999994</c:v>
                </c:pt>
              </c:numCache>
            </c:numRef>
          </c:val>
        </c:ser>
        <c:shape val="box"/>
        <c:axId val="180140288"/>
        <c:axId val="180154368"/>
        <c:axId val="0"/>
      </c:bar3DChart>
      <c:catAx>
        <c:axId val="180140288"/>
        <c:scaling>
          <c:orientation val="minMax"/>
        </c:scaling>
        <c:axPos val="b"/>
        <c:tickLblPos val="nextTo"/>
        <c:crossAx val="180154368"/>
        <c:crosses val="autoZero"/>
        <c:auto val="1"/>
        <c:lblAlgn val="ctr"/>
        <c:lblOffset val="100"/>
      </c:catAx>
      <c:valAx>
        <c:axId val="180154368"/>
        <c:scaling>
          <c:orientation val="minMax"/>
        </c:scaling>
        <c:axPos val="l"/>
        <c:majorGridlines/>
        <c:title>
          <c:tx>
            <c:rich>
              <a:bodyPr rot="-5400000" vert="horz"/>
              <a:lstStyle/>
              <a:p>
                <a:pPr>
                  <a:defRPr/>
                </a:pPr>
                <a:r>
                  <a:rPr lang="en-GB"/>
                  <a:t>Percentage</a:t>
                </a:r>
                <a:r>
                  <a:rPr lang="en-GB" baseline="0"/>
                  <a:t> % </a:t>
                </a:r>
                <a:endParaRPr lang="en-GB"/>
              </a:p>
            </c:rich>
          </c:tx>
        </c:title>
        <c:numFmt formatCode="General" sourceLinked="1"/>
        <c:tickLblPos val="nextTo"/>
        <c:crossAx val="180140288"/>
        <c:crosses val="autoZero"/>
        <c:crossBetween val="between"/>
      </c:valAx>
    </c:plotArea>
    <c:legend>
      <c:legendPos val="r"/>
    </c:legend>
    <c:plotVisOnly val="1"/>
  </c:chart>
  <c:externalData r:id="rId1"/>
</c:chartSpace>
</file>

<file path=word/charts/chart99.xml><?xml version="1.0" encoding="utf-8"?>
<c:chartSpace xmlns:c="http://schemas.openxmlformats.org/drawingml/2006/chart" xmlns:a="http://schemas.openxmlformats.org/drawingml/2006/main" xmlns:r="http://schemas.openxmlformats.org/officeDocument/2006/relationships">
  <c:date1904 val="1"/>
  <c:lang val="en-GB"/>
  <c:style val="44"/>
  <c:chart>
    <c:title>
      <c:tx>
        <c:rich>
          <a:bodyPr/>
          <a:lstStyle/>
          <a:p>
            <a:pPr>
              <a:defRPr/>
            </a:pPr>
            <a:r>
              <a:rPr lang="en-GB"/>
              <a:t>Success</a:t>
            </a:r>
            <a:r>
              <a:rPr lang="en-GB" baseline="0"/>
              <a:t> of Learners with Criminal Convictions</a:t>
            </a:r>
            <a:endParaRPr lang="en-GB"/>
          </a:p>
        </c:rich>
      </c:tx>
    </c:title>
    <c:view3D>
      <c:rAngAx val="1"/>
    </c:view3D>
    <c:plotArea>
      <c:layout/>
      <c:bar3DChart>
        <c:barDir val="col"/>
        <c:grouping val="clustered"/>
        <c:ser>
          <c:idx val="0"/>
          <c:order val="0"/>
          <c:tx>
            <c:strRef>
              <c:f>Sheet1!$B$1</c:f>
              <c:strCache>
                <c:ptCount val="1"/>
                <c:pt idx="0">
                  <c:v>Males with Criminal Convictions</c:v>
                </c:pt>
              </c:strCache>
            </c:strRef>
          </c:tx>
          <c:cat>
            <c:strRef>
              <c:f>Sheet1!$A$2:$A$4</c:f>
              <c:strCache>
                <c:ptCount val="3"/>
                <c:pt idx="0">
                  <c:v>Retention</c:v>
                </c:pt>
                <c:pt idx="1">
                  <c:v>Attainment</c:v>
                </c:pt>
                <c:pt idx="2">
                  <c:v>Success</c:v>
                </c:pt>
              </c:strCache>
            </c:strRef>
          </c:cat>
          <c:val>
            <c:numRef>
              <c:f>Sheet1!$B$2:$B$4</c:f>
              <c:numCache>
                <c:formatCode>General</c:formatCode>
                <c:ptCount val="3"/>
                <c:pt idx="0">
                  <c:v>80.2</c:v>
                </c:pt>
                <c:pt idx="1">
                  <c:v>77.900000000000006</c:v>
                </c:pt>
                <c:pt idx="2">
                  <c:v>62.4</c:v>
                </c:pt>
              </c:numCache>
            </c:numRef>
          </c:val>
        </c:ser>
        <c:ser>
          <c:idx val="1"/>
          <c:order val="1"/>
          <c:tx>
            <c:strRef>
              <c:f>Sheet1!$C$1</c:f>
              <c:strCache>
                <c:ptCount val="1"/>
                <c:pt idx="0">
                  <c:v>Females with Criminal Convictions </c:v>
                </c:pt>
              </c:strCache>
            </c:strRef>
          </c:tx>
          <c:cat>
            <c:strRef>
              <c:f>Sheet1!$A$2:$A$4</c:f>
              <c:strCache>
                <c:ptCount val="3"/>
                <c:pt idx="0">
                  <c:v>Retention</c:v>
                </c:pt>
                <c:pt idx="1">
                  <c:v>Attainment</c:v>
                </c:pt>
                <c:pt idx="2">
                  <c:v>Success</c:v>
                </c:pt>
              </c:strCache>
            </c:strRef>
          </c:cat>
          <c:val>
            <c:numRef>
              <c:f>Sheet1!$C$2:$C$4</c:f>
              <c:numCache>
                <c:formatCode>General</c:formatCode>
                <c:ptCount val="3"/>
                <c:pt idx="0">
                  <c:v>92.2</c:v>
                </c:pt>
                <c:pt idx="1">
                  <c:v>88.2</c:v>
                </c:pt>
                <c:pt idx="2">
                  <c:v>81.3</c:v>
                </c:pt>
              </c:numCache>
            </c:numRef>
          </c:val>
        </c:ser>
        <c:shape val="box"/>
        <c:axId val="180253824"/>
        <c:axId val="180255360"/>
        <c:axId val="0"/>
      </c:bar3DChart>
      <c:catAx>
        <c:axId val="180253824"/>
        <c:scaling>
          <c:orientation val="minMax"/>
        </c:scaling>
        <c:axPos val="b"/>
        <c:tickLblPos val="nextTo"/>
        <c:crossAx val="180255360"/>
        <c:crosses val="autoZero"/>
        <c:auto val="1"/>
        <c:lblAlgn val="ctr"/>
        <c:lblOffset val="100"/>
      </c:catAx>
      <c:valAx>
        <c:axId val="180255360"/>
        <c:scaling>
          <c:orientation val="minMax"/>
        </c:scaling>
        <c:axPos val="l"/>
        <c:majorGridlines/>
        <c:title>
          <c:tx>
            <c:rich>
              <a:bodyPr rot="-5400000" vert="horz"/>
              <a:lstStyle/>
              <a:p>
                <a:pPr>
                  <a:defRPr/>
                </a:pPr>
                <a:r>
                  <a:rPr lang="en-GB"/>
                  <a:t>Percentage</a:t>
                </a:r>
                <a:r>
                  <a:rPr lang="en-GB" baseline="0"/>
                  <a:t> % </a:t>
                </a:r>
                <a:endParaRPr lang="en-GB"/>
              </a:p>
            </c:rich>
          </c:tx>
        </c:title>
        <c:numFmt formatCode="General" sourceLinked="1"/>
        <c:tickLblPos val="nextTo"/>
        <c:crossAx val="18025382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8F13-8106-4590-8D1D-8F124D9C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7813</Words>
  <Characters>44539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NPTC</Company>
  <LinksUpToDate>false</LinksUpToDate>
  <CharactersWithSpaces>52248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morgjan</dc:creator>
  <cp:lastModifiedBy>davitan</cp:lastModifiedBy>
  <cp:revision>2</cp:revision>
  <cp:lastPrinted>2012-08-30T21:59:00Z</cp:lastPrinted>
  <dcterms:created xsi:type="dcterms:W3CDTF">2012-11-26T09:33:00Z</dcterms:created>
  <dcterms:modified xsi:type="dcterms:W3CDTF">2012-11-26T09:33:00Z</dcterms:modified>
</cp:coreProperties>
</file>